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26-343</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2506</w:t>
      </w:r>
    </w:p>
    <w:p>
      <w:pPr>
        <w:spacing w:before="0" w:after="0" w:line="480"/>
        <w:ind w:left="120"/>
        <w:jc w:val="center"/>
      </w:pPr>
      <w:r>
        <w:rPr>
          <w:rFonts w:ascii="Times New Roman" w:hAnsi="Times New Roman"/>
          <w:b w:val="false"/>
          <w:i w:val="false"/>
          <w:color w:val="000000"/>
          <w:sz w:val="24"/>
        </w:rPr>
        <w:t>“Contested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chapters 10A, 17A, and 85 through 85B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r>
              <w:rPr>
                <w:rFonts w:ascii="Times New Roman" w:hAnsi="Times New Roman"/>
                <w:b w:val="false"/>
                <w:i w:val="false"/>
                <w:color w:val="000000"/>
                <w:sz w:val="14"/>
              </w:rPr>
              <w:t xml:space="preserve"> </w:t>
            </w:r>
            <w:hyperlink r:id="rId4">
              <w:r>
                <w:rPr>
                  <w:rStyle w:val="Hyperlink"/>
                  <w:rFonts w:ascii="Times New Roman" w:hAnsi="Times New Roman"/>
                  <w:b w:val="false"/>
                  <w:i w:val="false"/>
                  <w:color w:val="0000ff"/>
                  <w:sz w:val="14"/>
                </w:rPr>
                <w:t>dial-iowa-gov.zoom.us/j/81654334225?pwd=5JUj7K10vOhVPFGUp2QWlyI2imRXx9.1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Interim Workers’ Compensation Commissioner</w:t>
            </w:r>
            <w:r>
              <w:br/>
            </w:r>
            <w:r>
              <w:rPr>
                <w:rFonts w:ascii="Times New Roman" w:hAnsi="Times New Roman"/>
                <w:b w:val="false"/>
                <w:i w:val="false"/>
                <w:color w:val="000000"/>
                <w:sz w:val="14"/>
              </w:rPr>
              <w:t>Iowa Workers’ Compensation Division</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2506 contains emergency rules the Division adopted in response to the passage of the Uniform Rules on Agency Procedure, recently enacted by the Iowa Legislature. The Division did not adopt certain Uniform Rules related to contested case hearings (7—Chapter 2506) to maintain the procedural rights and guarantees within the workers’ compensation system, which have developed over more than a century and offer greater protections than those outlined in the Uniform Rules on Agency Procedure.</w:t>
      </w:r>
    </w:p>
    <w:p>
      <w:pPr>
        <w:spacing w:before="0" w:after="0" w:line="480"/>
        <w:ind w:left="120"/>
        <w:jc w:val="both"/>
      </w:pPr>
      <w:r>
        <w:rPr>
          <w:rFonts w:ascii="Times New Roman" w:hAnsi="Times New Roman"/>
          <w:b w:val="false"/>
          <w:i w:val="false"/>
          <w:color w:val="000000"/>
          <w:sz w:val="24"/>
        </w:rPr>
        <w:t>    The overarching purpose of Chapter 2506 is to ensure greater procedural protections for parties than afforded within the Uniform Rules on Agency Procedure as well as provide clear deadlines for the administration of contested cases before the Division. The rules comply with statutory deadlines for the administration of alternate medical care hearings and reduce confusion for litigants before the Division that would occur with significant changes in deadlines and procedures.</w:t>
      </w:r>
    </w:p>
    <w:p>
      <w:pPr>
        <w:spacing w:before="0" w:after="0" w:line="480"/>
        <w:ind w:left="120"/>
        <w:jc w:val="both"/>
      </w:pPr>
      <w:r>
        <w:rPr>
          <w:rFonts w:ascii="Times New Roman" w:hAnsi="Times New Roman"/>
          <w:b w:val="false"/>
          <w:i w:val="false"/>
          <w:color w:val="000000"/>
          <w:sz w:val="24"/>
        </w:rPr>
        <w:t>    The main benefits provided by Chapter 2506 include continuity in the handling of the Division’s contested cases, including deadlines, procedures, and discovery rights, and compliance with statutory deadlines. This is evidenced by the continuation of contested case proceedings as usual despite changes with the implementation of the Uniform Rules on Agency Procedure and the adoption of Chapter 2506.</w:t>
      </w:r>
    </w:p>
    <w:p>
      <w:pPr>
        <w:spacing w:before="0" w:after="0" w:line="480"/>
        <w:ind w:left="120"/>
        <w:jc w:val="both"/>
      </w:pPr>
      <w:r>
        <w:rPr>
          <w:rFonts w:ascii="Times New Roman" w:hAnsi="Times New Roman"/>
          <w:b w:val="false"/>
          <w:i w:val="false"/>
          <w:color w:val="000000"/>
          <w:sz w:val="24"/>
        </w:rPr>
        <w:t>    The Division’s current structure and procedures operate more like district court proceedings than typical agency contested case proceedings. The vast majority of litigants appearing before the Division are represented by counsel. Counsel appearing before the Division are highly specialized and knowledgeable about the procedures involved in the workers’ compensation process. Significant changes to the Division’s contested case procedures would have significant impact upon those practitioners, injured workers, businesses, insurers, and the Second Injury Fund appearing before the Division. For litigants who elect to proceed pro se before the Division, the proposed contested case rules provide minimum procedural rights to ensure production and exchange of information prior to a formal hearing before the agency.</w:t>
      </w:r>
    </w:p>
    <w:p>
      <w:pPr>
        <w:spacing w:before="0" w:after="0" w:line="480"/>
        <w:ind w:left="120"/>
        <w:jc w:val="both"/>
      </w:pPr>
      <w:r>
        <w:rPr>
          <w:rFonts w:ascii="Times New Roman" w:hAnsi="Times New Roman"/>
          <w:b w:val="false"/>
          <w:i w:val="false"/>
          <w:color w:val="000000"/>
          <w:sz w:val="24"/>
        </w:rPr>
        <w:t>    Contested cases coming before the Division vary in significant ways from contested cases before other State agencies. First, most of the Division’s contested cases are brought by private citizens against their employer or its insurance carrier or both. Contested cases before the Division do not begin with governmental action. Instead, cases are initiated pursuant to Iowa Code section 85.26(3) by the filing of an original notice and petition. The Division’s arbitration cases and review-reopening cases involve significant discovery and typically take approximately one year from the original notice and petition until a contested case hearing occurs.</w:t>
      </w:r>
    </w:p>
    <w:p>
      <w:pPr>
        <w:spacing w:before="0" w:after="0" w:line="480"/>
        <w:ind w:left="120"/>
        <w:jc w:val="both"/>
      </w:pPr>
      <w:r>
        <w:rPr>
          <w:rFonts w:ascii="Times New Roman" w:hAnsi="Times New Roman"/>
          <w:b w:val="false"/>
          <w:i w:val="false"/>
          <w:color w:val="000000"/>
          <w:sz w:val="24"/>
        </w:rPr>
        <w:t>    Practical rules have been adopted over the decades to make the workers’ compensation contested case process as efficient as possible. The Division seeks to repromulgate many of those rules for efficiency, which are not contained in the Uniform Rules on Agency Procedure. For instance, the Division has rules that mandate automatic service of medical records between parties. These rules ensure admissibility of medical records and reports without laying foundation for such evidence or requiring depositions of treating medical providers to admit their opinions. These rules serve as efficiencies within the Division’s system and significantly reduce time and cost for the parties. Failure to adopt these rules would have a detrimental impact on the efficiency of the workers’ compensation system and on the ultimate expense to the litigants appearing before the Division.</w:t>
      </w:r>
    </w:p>
    <w:p>
      <w:pPr>
        <w:spacing w:before="0" w:after="0" w:line="480"/>
        <w:ind w:left="120"/>
        <w:jc w:val="both"/>
      </w:pPr>
      <w:r>
        <w:rPr>
          <w:rFonts w:ascii="Times New Roman" w:hAnsi="Times New Roman"/>
          <w:b w:val="false"/>
          <w:i w:val="false"/>
          <w:color w:val="000000"/>
          <w:sz w:val="24"/>
        </w:rPr>
        <w:t>    The Division also handles different types of contested cases that do not easily fit within the Uniform Rules on Agency Procedure. Alternate medical care hearings are governed by a statutory deadline. More information is contained in Iowa Code section 85.27. The Uniform Rules on Agency Procedure would not permit the Division to comply with the statutory deadline. Similarly, the Division is tasked with hearing health service (medical fee) disputes as well as applications for vocational training pursuant to Iowa Code section 85.70(2). Neither fits easily within the Uniform Rules on Agency Procedure, and specialized rules are necessary, which are found in Chapter 2506.</w:t>
      </w:r>
    </w:p>
    <w:p>
      <w:pPr>
        <w:spacing w:before="0" w:after="0" w:line="480"/>
        <w:ind w:left="120"/>
        <w:jc w:val="both"/>
      </w:pPr>
      <w:r>
        <w:rPr>
          <w:rFonts w:ascii="Times New Roman" w:hAnsi="Times New Roman"/>
          <w:b w:val="false"/>
          <w:i w:val="false"/>
          <w:color w:val="000000"/>
          <w:sz w:val="24"/>
        </w:rPr>
        <w:t>    The Division has modernized and implemented an electronic filing system. The Division opted out of some of the Uniform Rules on Agency Procedure because they are not consistent with the operational abilities of the Division’s current electronic filing system. Failure to implement these rules would require significant upgrade to, or modification of, the Division’s computer filing system. Use of the Uniform Rules on Agency Procedure would require unnecessary duplication of efforts for documents that are automatically served on all parties when electronically filed.</w:t>
      </w:r>
    </w:p>
    <w:p>
      <w:pPr>
        <w:spacing w:before="0" w:after="0" w:line="480"/>
        <w:ind w:left="120"/>
        <w:jc w:val="both"/>
      </w:pPr>
      <w:r>
        <w:rPr>
          <w:rFonts w:ascii="Times New Roman" w:hAnsi="Times New Roman"/>
          <w:b w:val="false"/>
          <w:i w:val="false"/>
          <w:color w:val="000000"/>
          <w:sz w:val="24"/>
        </w:rPr>
        <w:t>    For instance, the provisions of 7—subrule 2506.12(5) would require all documents exchanged by the parties to be filed with the Division. The Division’s server literally could not host the hundreds of thousands of medical records, tax returns, personnel files, and discovery responses exchanged by parties every year and would require a significant upgrade with a significant fiscal impact to the Division not contemplated within the Division’s budgetary constraints.  Maintaining a vast quantity of unnecessary medical records, tax records, and personnel files would also pose an unnecessary risk of disclosure of personally identifiable information of users of the workers’ compensation system.</w:t>
      </w:r>
    </w:p>
    <w:p>
      <w:pPr>
        <w:spacing w:before="0" w:after="0" w:line="480"/>
        <w:ind w:left="120"/>
        <w:jc w:val="both"/>
      </w:pPr>
      <w:r>
        <w:rPr>
          <w:rFonts w:ascii="Times New Roman" w:hAnsi="Times New Roman"/>
          <w:b w:val="false"/>
          <w:i w:val="false"/>
          <w:color w:val="000000"/>
          <w:sz w:val="24"/>
        </w:rPr>
        <w:t>    The Division has determined that there is a need for continuity in the handling of its cases, including deadlines, procedures, and discovery rights. The Division has determined that the need to avoid a significant fiscal impact requires this proposed chapter. The Division has determined that compliance with statutory deadlines also requires the adoption of these rules. Therefore, the Division opted out of certain Uniform Rules on Agency Procedure and proposes to adopt other rules.</w:t>
      </w:r>
    </w:p>
    <w:p>
      <w:pPr>
        <w:spacing w:before="0" w:after="0" w:line="480"/>
        <w:ind w:left="120"/>
        <w:jc w:val="both"/>
      </w:pPr>
      <w:r>
        <w:rPr>
          <w:rFonts w:ascii="Times New Roman" w:hAnsi="Times New Roman"/>
          <w:b w:val="false"/>
          <w:i w:val="false"/>
          <w:color w:val="000000"/>
          <w:sz w:val="24"/>
        </w:rPr>
        <w:t>    The reference to 876—subrule 3.1(2) is to that subrule as published concurrently herein (</w:t>
      </w:r>
      <w:r>
        <w:rPr>
          <w:rFonts w:ascii="Times New Roman" w:hAnsi="Times New Roman"/>
          <w:b/>
          <w:i w:val="false"/>
          <w:color w:val="000000"/>
          <w:sz w:val="24"/>
        </w:rPr>
        <w:t>RA 26-33</w:t>
      </w:r>
      <w:r>
        <w:rPr>
          <w:rFonts w:ascii="Times New Roman" w:hAnsi="Times New Roman"/>
          <w:b/>
          <w:i w:val="false"/>
          <w:color w:val="000000"/>
          <w:sz w:val="24"/>
        </w:rPr>
        <w:t>8</w:t>
      </w:r>
      <w:r>
        <w:rPr>
          <w:rFonts w:ascii="Times New Roman" w:hAnsi="Times New Roman"/>
          <w:b w:val="false"/>
          <w:i w:val="false"/>
          <w:color w:val="000000"/>
          <w:sz w:val="24"/>
        </w:rPr>
        <w:t>, IAB 10/14/26).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public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Both injured workers and employers and their insurance carriers benefit from this proposed rulemaking because it maintains continuity in procedures for contested case proceedings before the Division. There is also benefit to the staff within the Division because the continuity in procedure prevents confusion and chaos and promotes efficiency within the system. This, in turn, reduces costs for litigants appearing before the Division and protects the procedural rights and guarantees that have developed over more than a century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imposed by these proposed rules beyond the Division’s statutory obligations. The costs allow for the essential functioning of the Division and therein the workers’ compensation system for the entire State of Iowa. The costs cover staff needed to oversee compliance with Iowa’s workers’ compensation statutes, adjudicate the rights and liabilities of parties in workers’ compensation claims, approve settlements in accordance with applicable statutes, and conduct appeals.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agency’s budget and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are no costs imposed by these proposed rules beyond the Division’s statutory obligations. The cost of inaction would result in reversion to the Uniform Rules on Agency Procedure, which the Division has determined provide fewer procedural protections for parties appearing before the Division. Additionally, the Uniform Rules on Agency Procedure would not allow for Division compliance with statutory deadlines, and the confusion and inefficiencies that would result would have a significant fiscal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All of the Division’s rules were recently reviewed as part of the emergency rulemaking process associated with the implementation of the Uniform Rules on Agency Procedure. As such, considerations were made as to whether less costly or intrusive alternatives would accomplish the same benefit. Chapter 2506 deals with contested case proceedings and is primarily procedural in nature, so any provisions that would be considered intrusive are necessary due to statutory and/or judicial requirements and deadlines. As stated above, there are no costs imposed by these proposed rules beyond the Division’s statutory obligations. As a result, there are no less costly or less intrusive methods for achieving the purpose of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seriously considered adoption of the Uniform Rules on Agency Procedure but ultimately determined that was not a viable alternative to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As noted in greater detail above, the Division determined that there is a need for continuity in the handling of its cases, including deadlines, procedures, and discovery rights, so the Division opted out of certain Uniform Rules on Agency Procedure and adopted the rules in Chapter 2506 on an emergency basis earlier this year. The Division determined that the need to avoid a significant fiscal impact and comply with statutory deadlines required adopting the emergency rules. Therefore, the Division opted out of certain Uniform Rules on Agency Procedure and adopted other rules on an emergency basis.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Chapter 2506 has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2506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6">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7">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8">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876—2506.4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876—2506.5</w:t>
      </w:r>
      <w:r>
        <w:rPr>
          <w:rFonts w:ascii="Times New Roman" w:hAnsi="Times New Roman"/>
          <w:b/>
          <w:i w:val="false"/>
          <w:color w:val="000000"/>
          <w:sz w:val="24"/>
        </w:rPr>
        <w:t xml:space="preserve">(17A) </w:t>
      </w:r>
      <w:r>
        <w:rPr>
          <w:rFonts w:ascii="Times New Roman" w:hAnsi="Times New Roman"/>
          <w:b/>
          <w:i w:val="false"/>
          <w:color w:val="000000"/>
          <w:sz w:val="24"/>
        </w:rPr>
        <w:t xml:space="preserve">Notice of hearing.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876—2506.6</w:t>
      </w:r>
      <w:r>
        <w:rPr>
          <w:rFonts w:ascii="Times New Roman" w:hAnsi="Times New Roman"/>
          <w:b/>
          <w:i w:val="false"/>
          <w:color w:val="000000"/>
          <w:sz w:val="24"/>
        </w:rPr>
        <w:t xml:space="preserve">(17A) </w:t>
      </w:r>
      <w:r>
        <w:rPr>
          <w:rFonts w:ascii="Times New Roman" w:hAnsi="Times New Roman"/>
          <w:b/>
          <w:i w:val="false"/>
          <w:color w:val="000000"/>
          <w:sz w:val="24"/>
        </w:rPr>
        <w:t xml:space="preserve">Presiding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2506.6(2)</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210" w:after="0" w:line="480"/>
        <w:ind w:left="120"/>
        <w:jc w:val="both"/>
      </w:pPr>
      <w:r>
        <w:rPr>
          <w:rFonts w:ascii="Times New Roman" w:hAnsi="Times New Roman"/>
          <w:b/>
          <w:i w:val="false"/>
          <w:color w:val="000000"/>
          <w:sz w:val="24"/>
        </w:rPr>
        <w:t>876—2506.8</w:t>
      </w:r>
      <w:r>
        <w:rPr>
          <w:rFonts w:ascii="Times New Roman" w:hAnsi="Times New Roman"/>
          <w:b/>
          <w:i w:val="false"/>
          <w:color w:val="000000"/>
          <w:sz w:val="24"/>
        </w:rPr>
        <w:t xml:space="preserve">(17A) </w:t>
      </w:r>
      <w:r>
        <w:rPr>
          <w:rFonts w:ascii="Times New Roman" w:hAnsi="Times New Roman"/>
          <w:b/>
          <w:i w:val="false"/>
          <w:color w:val="000000"/>
          <w:sz w:val="24"/>
        </w:rPr>
        <w:t xml:space="preserve">Telephone proceeding.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876—2506.11</w:t>
      </w:r>
      <w:r>
        <w:rPr>
          <w:rFonts w:ascii="Times New Roman" w:hAnsi="Times New Roman"/>
          <w:b/>
          <w:i w:val="false"/>
          <w:color w:val="000000"/>
          <w:sz w:val="24"/>
        </w:rPr>
        <w:t xml:space="preserve">(17A) </w:t>
      </w:r>
      <w:r>
        <w:rPr>
          <w:rFonts w:ascii="Times New Roman" w:hAnsi="Times New Roman"/>
          <w:b/>
          <w:i w:val="false"/>
          <w:color w:val="000000"/>
          <w:sz w:val="24"/>
        </w:rPr>
        <w:t xml:space="preserve">Pleadings.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876—2506.12</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service and filing of pleadings and other papers.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2506.12(2)</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2506.12(4)</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2506.12(6)</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210" w:after="0" w:line="480"/>
        <w:ind w:left="120"/>
        <w:jc w:val="both"/>
      </w:pPr>
      <w:r>
        <w:rPr>
          <w:rFonts w:ascii="Times New Roman" w:hAnsi="Times New Roman"/>
          <w:b/>
          <w:i w:val="false"/>
          <w:color w:val="000000"/>
          <w:sz w:val="24"/>
        </w:rPr>
        <w:t>876—2506.13</w:t>
      </w:r>
      <w:r>
        <w:rPr>
          <w:rFonts w:ascii="Times New Roman" w:hAnsi="Times New Roman"/>
          <w:b/>
          <w:i w:val="false"/>
          <w:color w:val="000000"/>
          <w:sz w:val="24"/>
        </w:rPr>
        <w:t xml:space="preserve">(17A) </w:t>
      </w:r>
      <w:r>
        <w:rPr>
          <w:rFonts w:ascii="Times New Roman" w:hAnsi="Times New Roman"/>
          <w:b/>
          <w:i w:val="false"/>
          <w:color w:val="000000"/>
          <w:sz w:val="24"/>
        </w:rPr>
        <w:t xml:space="preserve">Discovery.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876—2506.15</w:t>
      </w:r>
      <w:r>
        <w:rPr>
          <w:rFonts w:ascii="Times New Roman" w:hAnsi="Times New Roman"/>
          <w:b/>
          <w:i w:val="false"/>
          <w:color w:val="000000"/>
          <w:sz w:val="24"/>
        </w:rPr>
        <w:t xml:space="preserve">(17A) </w:t>
      </w:r>
      <w:r>
        <w:rPr>
          <w:rFonts w:ascii="Times New Roman" w:hAnsi="Times New Roman"/>
          <w:b/>
          <w:i w:val="false"/>
          <w:color w:val="000000"/>
          <w:sz w:val="24"/>
        </w:rPr>
        <w:t xml:space="preserve">Motions.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876—2506.16</w:t>
      </w:r>
      <w:r>
        <w:rPr>
          <w:rFonts w:ascii="Times New Roman" w:hAnsi="Times New Roman"/>
          <w:b/>
          <w:i w:val="false"/>
          <w:color w:val="000000"/>
          <w:sz w:val="24"/>
        </w:rPr>
        <w:t xml:space="preserve">(17A) </w:t>
      </w:r>
      <w:r>
        <w:rPr>
          <w:rFonts w:ascii="Times New Roman" w:hAnsi="Times New Roman"/>
          <w:b/>
          <w:i w:val="false"/>
          <w:color w:val="000000"/>
          <w:sz w:val="24"/>
        </w:rPr>
        <w:t xml:space="preserve">Prehearing conference.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876—2506.17</w:t>
      </w:r>
      <w:r>
        <w:rPr>
          <w:rFonts w:ascii="Times New Roman" w:hAnsi="Times New Roman"/>
          <w:b/>
          <w:i w:val="false"/>
          <w:color w:val="000000"/>
          <w:sz w:val="24"/>
        </w:rPr>
        <w:t xml:space="preserve">(17A) </w:t>
      </w:r>
      <w:r>
        <w:rPr>
          <w:rFonts w:ascii="Times New Roman" w:hAnsi="Times New Roman"/>
          <w:b/>
          <w:i w:val="false"/>
          <w:color w:val="000000"/>
          <w:sz w:val="24"/>
        </w:rPr>
        <w:t xml:space="preserve">Continuances.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876—2506.22</w:t>
      </w:r>
      <w:r>
        <w:rPr>
          <w:rFonts w:ascii="Times New Roman" w:hAnsi="Times New Roman"/>
          <w:b/>
          <w:i w:val="false"/>
          <w:color w:val="000000"/>
          <w:sz w:val="24"/>
        </w:rPr>
        <w:t xml:space="preserve">(17A) </w:t>
      </w:r>
      <w:r>
        <w:rPr>
          <w:rFonts w:ascii="Times New Roman" w:hAnsi="Times New Roman"/>
          <w:b/>
          <w:i w:val="false"/>
          <w:color w:val="000000"/>
          <w:sz w:val="24"/>
        </w:rPr>
        <w:t xml:space="preserve">Default.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876—2506.23</w:t>
      </w:r>
      <w:r>
        <w:rPr>
          <w:rFonts w:ascii="Times New Roman" w:hAnsi="Times New Roman"/>
          <w:b/>
          <w:i w:val="false"/>
          <w:color w:val="000000"/>
          <w:sz w:val="24"/>
        </w:rPr>
        <w:t xml:space="preserve">(17A) </w:t>
      </w:r>
      <w:r>
        <w:rPr>
          <w:rFonts w:ascii="Times New Roman" w:hAnsi="Times New Roman"/>
          <w:b/>
          <w:i w:val="false"/>
          <w:color w:val="000000"/>
          <w:sz w:val="24"/>
        </w:rPr>
        <w:t xml:space="preserve">Ex parte communication.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210" w:after="0" w:line="480"/>
        <w:ind w:left="120"/>
        <w:jc w:val="both"/>
      </w:pPr>
      <w:r>
        <w:rPr>
          <w:rFonts w:ascii="Times New Roman" w:hAnsi="Times New Roman"/>
          <w:b/>
          <w:i w:val="false"/>
          <w:color w:val="000000"/>
          <w:sz w:val="24"/>
        </w:rPr>
        <w:t>876—2506.24</w:t>
      </w:r>
      <w:r>
        <w:rPr>
          <w:rFonts w:ascii="Times New Roman" w:hAnsi="Times New Roman"/>
          <w:b/>
          <w:i w:val="false"/>
          <w:color w:val="000000"/>
          <w:sz w:val="24"/>
        </w:rPr>
        <w:t xml:space="preserve">(17A) </w:t>
      </w:r>
      <w:r>
        <w:rPr>
          <w:rFonts w:ascii="Times New Roman" w:hAnsi="Times New Roman"/>
          <w:b/>
          <w:i w:val="false"/>
          <w:color w:val="000000"/>
          <w:sz w:val="24"/>
        </w:rPr>
        <w:t xml:space="preserve">Recording costs.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876—2506.25</w:t>
      </w:r>
      <w:r>
        <w:rPr>
          <w:rFonts w:ascii="Times New Roman" w:hAnsi="Times New Roman"/>
          <w:b/>
          <w:i w:val="false"/>
          <w:color w:val="000000"/>
          <w:sz w:val="24"/>
        </w:rPr>
        <w:t xml:space="preserve">(17A) </w:t>
      </w:r>
      <w:r>
        <w:rPr>
          <w:rFonts w:ascii="Times New Roman" w:hAnsi="Times New Roman"/>
          <w:b/>
          <w:i w:val="false"/>
          <w:color w:val="000000"/>
          <w:sz w:val="24"/>
        </w:rPr>
        <w:t xml:space="preserve">Interlocutory appeals.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876—2506.28</w:t>
      </w:r>
      <w:r>
        <w:rPr>
          <w:rFonts w:ascii="Times New Roman" w:hAnsi="Times New Roman"/>
          <w:b/>
          <w:i w:val="false"/>
          <w:color w:val="000000"/>
          <w:sz w:val="24"/>
        </w:rPr>
        <w:t xml:space="preserve">(17A) </w:t>
      </w:r>
      <w:r>
        <w:rPr>
          <w:rFonts w:ascii="Times New Roman" w:hAnsi="Times New Roman"/>
          <w:b/>
          <w:i w:val="false"/>
          <w:color w:val="000000"/>
          <w:sz w:val="24"/>
        </w:rPr>
        <w:t xml:space="preserve">Applications for rehearing.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876—2506.32</w:t>
      </w:r>
      <w:r>
        <w:rPr>
          <w:rFonts w:ascii="Times New Roman" w:hAnsi="Times New Roman"/>
          <w:b/>
          <w:i w:val="false"/>
          <w:color w:val="000000"/>
          <w:sz w:val="24"/>
        </w:rPr>
        <w:t xml:space="preserve">(10A,17A,85) </w:t>
      </w:r>
      <w:r>
        <w:rPr>
          <w:rFonts w:ascii="Times New Roman" w:hAnsi="Times New Roman"/>
          <w:b/>
          <w:i w:val="false"/>
          <w:color w:val="000000"/>
          <w:sz w:val="24"/>
        </w:rPr>
        <w:t xml:space="preserve">Contested cases. </w:t>
      </w:r>
      <w:r>
        <w:rPr>
          <w:rFonts w:ascii="Times New Roman" w:hAnsi="Times New Roman"/>
          <w:b w:val="false"/>
          <w:i w:val="false"/>
          <w:color w:val="000000"/>
          <w:sz w:val="24"/>
        </w:rPr>
        <w:t>Contested case proceedings before the workers’ compensation commissioner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w:t>
      </w:r>
      <w:r>
        <w:rPr>
          <w:rFonts w:ascii="Times New Roman" w:hAnsi="Times New Roman"/>
          <w:b w:val="false"/>
          <w:i w:val="false"/>
          <w:color w:val="000000"/>
          <w:sz w:val="24"/>
        </w:rPr>
        <w:t> </w:t>
      </w:r>
      <w:r>
        <w:rPr>
          <w:rFonts w:ascii="Times New Roman" w:hAnsi="Times New Roman"/>
          <w:b w:val="false"/>
          <w:i w:val="false"/>
          <w:color w:val="000000"/>
          <w:sz w:val="24"/>
        </w:rPr>
        <w:t xml:space="preserve">Arbitration as described in Iowa Code section </w:t>
      </w:r>
      <w:hyperlink r:id="rId9">
        <w:r>
          <w:rPr>
            <w:rStyle w:val="Hyperlink"/>
            <w:rFonts w:ascii="Times New Roman" w:hAnsi="Times New Roman"/>
            <w:b w:val="false"/>
            <w:i w:val="false"/>
            <w:color w:val="000000"/>
            <w:sz w:val="24"/>
          </w:rPr>
          <w:t>10A.317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Review-reopening of an award or a settlement as described in Iowa Code section </w:t>
      </w:r>
      <w:hyperlink r:id="rId10">
        <w:r>
          <w:rPr>
            <w:rStyle w:val="Hyperlink"/>
            <w:rFonts w:ascii="Times New Roman" w:hAnsi="Times New Roman"/>
            <w:b w:val="false"/>
            <w:i w:val="false"/>
            <w:color w:val="000000"/>
            <w:sz w:val="24"/>
          </w:rPr>
          <w:t>10A.317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2506.32(3)</w:t>
      </w:r>
      <w:r>
        <w:rPr>
          <w:rFonts w:ascii="Times New Roman" w:hAnsi="Times New Roman"/>
          <w:b w:val="false"/>
          <w:i w:val="false"/>
          <w:color w:val="000000"/>
          <w:sz w:val="24"/>
        </w:rPr>
        <w:t> </w:t>
      </w:r>
      <w:r>
        <w:rPr>
          <w:rFonts w:ascii="Times New Roman" w:hAnsi="Times New Roman"/>
          <w:b w:val="false"/>
          <w:i w:val="false"/>
          <w:color w:val="000000"/>
          <w:sz w:val="24"/>
        </w:rPr>
        <w:t xml:space="preserve">Benefits as described in Iowa Code section </w:t>
      </w:r>
      <w:hyperlink r:id="rId11">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2506.32(4)</w:t>
      </w:r>
      <w:r>
        <w:rPr>
          <w:rFonts w:ascii="Times New Roman" w:hAnsi="Times New Roman"/>
          <w:b w:val="false"/>
          <w:i w:val="false"/>
          <w:color w:val="000000"/>
          <w:sz w:val="24"/>
        </w:rPr>
        <w:t> </w:t>
      </w:r>
      <w:r>
        <w:rPr>
          <w:rFonts w:ascii="Times New Roman" w:hAnsi="Times New Roman"/>
          <w:b w:val="false"/>
          <w:i w:val="false"/>
          <w:color w:val="000000"/>
          <w:sz w:val="24"/>
        </w:rPr>
        <w:t xml:space="preserve">Death and burial benefits as described in Iowa Code sections </w:t>
      </w:r>
      <w:hyperlink r:id="rId12">
        <w:r>
          <w:rPr>
            <w:rStyle w:val="Hyperlink"/>
            <w:rFonts w:ascii="Times New Roman" w:hAnsi="Times New Roman"/>
            <w:b w:val="false"/>
            <w:i w:val="false"/>
            <w:color w:val="000000"/>
            <w:sz w:val="24"/>
          </w:rPr>
          <w:t>85.28</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85.29</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85.31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2506.32(5)</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dependency as described in Iowa Code sections </w:t>
      </w:r>
      <w:hyperlink r:id="rId15">
        <w:r>
          <w:rPr>
            <w:rStyle w:val="Hyperlink"/>
            <w:rFonts w:ascii="Times New Roman" w:hAnsi="Times New Roman"/>
            <w:b w:val="false"/>
            <w:i w:val="false"/>
            <w:color w:val="000000"/>
            <w:sz w:val="24"/>
          </w:rPr>
          <w:t>85.42</w:t>
        </w:r>
      </w:hyperlink>
      <w:r>
        <w:rPr>
          <w:rFonts w:ascii="Times New Roman" w:hAnsi="Times New Roman"/>
          <w:b w:val="false"/>
          <w:i w:val="false"/>
          <w:color w:val="000000"/>
          <w:sz w:val="24"/>
        </w:rPr>
        <w:t xml:space="preserve"> through </w:t>
      </w:r>
      <w:hyperlink r:id="rId16">
        <w:r>
          <w:rPr>
            <w:rStyle w:val="Hyperlink"/>
            <w:rFonts w:ascii="Times New Roman" w:hAnsi="Times New Roman"/>
            <w:b w:val="false"/>
            <w:i w:val="false"/>
            <w:color w:val="000000"/>
            <w:sz w:val="24"/>
          </w:rPr>
          <w:t>85.44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2506.32(6)</w:t>
      </w:r>
      <w:r>
        <w:rPr>
          <w:rFonts w:ascii="Times New Roman" w:hAnsi="Times New Roman"/>
          <w:b w:val="false"/>
          <w:i w:val="false"/>
          <w:color w:val="000000"/>
          <w:sz w:val="24"/>
        </w:rPr>
        <w:t> </w:t>
      </w:r>
      <w:r>
        <w:rPr>
          <w:rFonts w:ascii="Times New Roman" w:hAnsi="Times New Roman"/>
          <w:b w:val="false"/>
          <w:i w:val="false"/>
          <w:color w:val="000000"/>
          <w:sz w:val="24"/>
        </w:rPr>
        <w:t xml:space="preserve">Equitable apportionment as described in Iowa Code section </w:t>
      </w:r>
      <w:hyperlink r:id="rId17">
        <w:r>
          <w:rPr>
            <w:rStyle w:val="Hyperlink"/>
            <w:rFonts w:ascii="Times New Roman" w:hAnsi="Times New Roman"/>
            <w:b w:val="false"/>
            <w:i w:val="false"/>
            <w:color w:val="000000"/>
            <w:sz w:val="24"/>
          </w:rPr>
          <w:t>85.43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2506.32(7)</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 injury fund as described in Iowa Code section </w:t>
      </w:r>
      <w:hyperlink r:id="rId18">
        <w:r>
          <w:rPr>
            <w:rStyle w:val="Hyperlink"/>
            <w:rFonts w:ascii="Times New Roman" w:hAnsi="Times New Roman"/>
            <w:b w:val="false"/>
            <w:i w:val="false"/>
            <w:color w:val="000000"/>
            <w:sz w:val="24"/>
          </w:rPr>
          <w:t>85.63</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2506.32(8)</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rehabilitation benefits as described in Iowa Code section </w:t>
      </w:r>
      <w:hyperlink r:id="rId19">
        <w:r>
          <w:rPr>
            <w:rStyle w:val="Hyperlink"/>
            <w:rFonts w:ascii="Times New Roman" w:hAnsi="Times New Roman"/>
            <w:b w:val="false"/>
            <w:i w:val="false"/>
            <w:color w:val="000000"/>
            <w:sz w:val="24"/>
          </w:rPr>
          <w:t>85.70(1)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2506.32(9)</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training and education as described in Iowa Code section </w:t>
      </w:r>
      <w:hyperlink r:id="rId20">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2506.32(10)</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Approval of fees as described in Iowa Code section </w:t>
      </w:r>
      <w:hyperlink r:id="rId21">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2506.32(11)</w:t>
      </w:r>
      <w:r>
        <w:rPr>
          <w:rFonts w:ascii="Times New Roman" w:hAnsi="Times New Roman"/>
          <w:b w:val="false"/>
          <w:i w:val="false"/>
          <w:color w:val="000000"/>
          <w:sz w:val="24"/>
        </w:rPr>
        <w:t> </w:t>
      </w:r>
      <w:r>
        <w:rPr>
          <w:rFonts w:ascii="Times New Roman" w:hAnsi="Times New Roman"/>
          <w:b w:val="false"/>
          <w:i w:val="false"/>
          <w:color w:val="000000"/>
          <w:sz w:val="24"/>
        </w:rPr>
        <w:t xml:space="preserve">Commutation as described in Iowa Code section </w:t>
      </w:r>
      <w:hyperlink r:id="rId22">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2506.32(12)</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examination as described in Iowa Code section </w:t>
      </w:r>
      <w:hyperlink r:id="rId23">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2506.32(13)</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compliance with Iowa Code chapters </w:t>
      </w:r>
      <w:hyperlink r:id="rId24">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26">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alternate medical care as described in Iowa Code section </w:t>
      </w:r>
      <w:hyperlink r:id="rId28">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2506.32(15)</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liability, reimbursement for benefits paid and recovery of interest as described in Iowa Code section </w:t>
      </w:r>
      <w:hyperlink r:id="rId29">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2506.32(16)</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as described in Iowa Code section </w:t>
      </w:r>
      <w:hyperlink r:id="rId30">
        <w:r>
          <w:rPr>
            <w:rStyle w:val="Hyperlink"/>
            <w:rFonts w:ascii="Times New Roman" w:hAnsi="Times New Roman"/>
            <w:b w:val="false"/>
            <w:i w:val="false"/>
            <w:color w:val="000000"/>
            <w:sz w:val="24"/>
          </w:rPr>
          <w:t>85.30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2506.32(17)</w:t>
      </w:r>
      <w:r>
        <w:rPr>
          <w:rFonts w:ascii="Times New Roman" w:hAnsi="Times New Roman"/>
          <w:b w:val="false"/>
          <w:i w:val="false"/>
          <w:color w:val="000000"/>
          <w:sz w:val="24"/>
        </w:rPr>
        <w:t> </w:t>
      </w:r>
      <w:r>
        <w:rPr>
          <w:rFonts w:ascii="Times New Roman" w:hAnsi="Times New Roman"/>
          <w:b w:val="false"/>
          <w:i w:val="false"/>
          <w:color w:val="000000"/>
          <w:sz w:val="24"/>
        </w:rPr>
        <w:t xml:space="preserve">Penalty as described in Iowa Code section </w:t>
      </w:r>
      <w:hyperlink r:id="rId31">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2506.32(18)</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approval of third-party settlement as described in Iowa Code section </w:t>
      </w:r>
      <w:hyperlink r:id="rId32">
        <w:r>
          <w:rPr>
            <w:rStyle w:val="Hyperlink"/>
            <w:rFonts w:ascii="Times New Roman" w:hAnsi="Times New Roman"/>
            <w:b w:val="false"/>
            <w:i w:val="false"/>
            <w:color w:val="000000"/>
            <w:sz w:val="24"/>
          </w:rPr>
          <w:t>85.22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2506.32(19)</w:t>
      </w:r>
      <w:r>
        <w:rPr>
          <w:rFonts w:ascii="Times New Roman" w:hAnsi="Times New Roman"/>
          <w:b w:val="false"/>
          <w:i w:val="false"/>
          <w:color w:val="000000"/>
          <w:sz w:val="24"/>
        </w:rPr>
        <w:t> </w:t>
      </w:r>
      <w:r>
        <w:rPr>
          <w:rFonts w:ascii="Times New Roman" w:hAnsi="Times New Roman"/>
          <w:b w:val="false"/>
          <w:i w:val="false"/>
          <w:color w:val="000000"/>
          <w:sz w:val="24"/>
        </w:rPr>
        <w:t>Matters that would be a contested case if there were a dispute over the existence of material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2506.32(20)</w:t>
      </w:r>
      <w:r>
        <w:rPr>
          <w:rFonts w:ascii="Times New Roman" w:hAnsi="Times New Roman"/>
          <w:b w:val="false"/>
          <w:i w:val="false"/>
          <w:color w:val="000000"/>
          <w:sz w:val="24"/>
        </w:rPr>
        <w:t> </w:t>
      </w:r>
      <w:r>
        <w:rPr>
          <w:rFonts w:ascii="Times New Roman" w:hAnsi="Times New Roman"/>
          <w:b w:val="false"/>
          <w:i w:val="false"/>
          <w:color w:val="000000"/>
          <w:sz w:val="24"/>
        </w:rPr>
        <w:t>Any other issue determinable upon evidential hearing that is under the jurisdiction of the workers’ compensation commissioner.</w:t>
      </w:r>
    </w:p>
    <w:p>
      <w:pPr>
        <w:spacing w:before="0" w:after="0" w:line="480"/>
        <w:ind w:left="120"/>
        <w:jc w:val="both"/>
      </w:pPr>
      <w:r>
        <w:rPr>
          <w:rFonts w:ascii="Times New Roman" w:hAnsi="Times New Roman"/>
          <w:b w:val="false"/>
          <w:i w:val="false"/>
          <w:color w:val="000000"/>
          <w:sz w:val="24"/>
        </w:rPr>
        <w:t xml:space="preserve">There shall be no hearing in contested cases pursuant to subrules </w:t>
      </w:r>
      <w:hyperlink r:id="rId33">
        <w:r>
          <w:rPr>
            <w:rStyle w:val="Hyperlink"/>
            <w:rFonts w:ascii="Times New Roman" w:hAnsi="Times New Roman"/>
            <w:b w:val="false"/>
            <w:i w:val="false"/>
            <w:color w:val="000000"/>
            <w:sz w:val="24"/>
          </w:rPr>
          <w:t>2506.32(8)</w:t>
        </w:r>
      </w:hyperlink>
      <w:r>
        <w:rPr>
          <w:rFonts w:ascii="Times New Roman" w:hAnsi="Times New Roman"/>
          <w:b w:val="false"/>
          <w:i w:val="false"/>
          <w:color w:val="000000"/>
          <w:sz w:val="24"/>
        </w:rPr>
        <w:t xml:space="preserve"> through </w:t>
      </w:r>
      <w:hyperlink r:id="rId34">
        <w:r>
          <w:rPr>
            <w:rStyle w:val="Hyperlink"/>
            <w:rFonts w:ascii="Times New Roman" w:hAnsi="Times New Roman"/>
            <w:b w:val="false"/>
            <w:i w:val="false"/>
            <w:color w:val="000000"/>
            <w:sz w:val="24"/>
          </w:rPr>
          <w:t>2506.32(12)</w:t>
        </w:r>
      </w:hyperlink>
      <w:r>
        <w:rPr>
          <w:rFonts w:ascii="Times New Roman" w:hAnsi="Times New Roman"/>
          <w:b w:val="false"/>
          <w:i w:val="false"/>
          <w:color w:val="000000"/>
          <w:sz w:val="24"/>
        </w:rPr>
        <w:t xml:space="preserve"> unless otherwise ordered or requested in writing by the petition in the original notice or petition or by the respondent within ten days following the time allowed by these rules for appearance.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17A.2(2)</w:t>
        </w:r>
      </w:hyperlink>
      <w:r>
        <w:rPr>
          <w:rFonts w:ascii="Times New Roman" w:hAnsi="Times New Roman"/>
          <w:b w:val="false"/>
          <w:i w:val="false"/>
          <w:color w:val="000000"/>
          <w:sz w:val="24"/>
        </w:rPr>
        <w:t xml:space="preserve"> and chapter </w:t>
      </w:r>
      <w:hyperlink r:id="rId3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876—2506.33</w:t>
      </w:r>
      <w:r>
        <w:rPr>
          <w:rFonts w:ascii="Times New Roman" w:hAnsi="Times New Roman"/>
          <w:b/>
          <w:i w:val="false"/>
          <w:color w:val="000000"/>
          <w:sz w:val="24"/>
        </w:rPr>
        <w:t xml:space="preserve">(10A) </w:t>
      </w:r>
      <w:r>
        <w:rPr>
          <w:rFonts w:ascii="Times New Roman" w:hAnsi="Times New Roman"/>
          <w:b/>
          <w:i w:val="false"/>
          <w:color w:val="000000"/>
          <w:sz w:val="24"/>
        </w:rPr>
        <w:t xml:space="preserve">Separate evidentiary hearing—denial or delay of benefits. </w:t>
      </w:r>
      <w:r>
        <w:rPr>
          <w:rFonts w:ascii="Times New Roman" w:hAnsi="Times New Roman"/>
          <w:b w:val="false"/>
          <w:i w:val="false"/>
          <w:color w:val="000000"/>
          <w:sz w:val="24"/>
        </w:rPr>
        <w:t xml:space="preserve">Entitlement to penalty benefits for unreasonable delay, denial, or termination of benefits, as provided in Iowa Code section </w:t>
      </w:r>
      <w:hyperlink r:id="rId38">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shall be pled. Discovery shall be limited to matters discoverable in the absence of such pleading unless it is bifurcated. The claimant may bifurcate the denial or delay issue by filing and serving a notice of bifurcation at any time before a case is assigned for hearing, in which case discovery on that issue may proceed only after the final decision of the agency on all other issues.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9">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876—2506.34</w:t>
      </w:r>
      <w:r>
        <w:rPr>
          <w:rFonts w:ascii="Times New Roman" w:hAnsi="Times New Roman"/>
          <w:b/>
          <w:i w:val="false"/>
          <w:color w:val="000000"/>
          <w:sz w:val="24"/>
        </w:rPr>
        <w:t xml:space="preserve">(10A,85,85A,85B,87) </w:t>
      </w:r>
      <w:r>
        <w:rPr>
          <w:rFonts w:ascii="Times New Roman" w:hAnsi="Times New Roman"/>
          <w:b/>
          <w:i w:val="false"/>
          <w:color w:val="000000"/>
          <w:sz w:val="24"/>
        </w:rPr>
        <w:t xml:space="preserve">Compliance proceedings. </w:t>
      </w:r>
      <w:r>
        <w:rPr>
          <w:rFonts w:ascii="Times New Roman" w:hAnsi="Times New Roman"/>
          <w:b w:val="false"/>
          <w:i w:val="false"/>
          <w:color w:val="000000"/>
          <w:sz w:val="24"/>
        </w:rPr>
        <w:t xml:space="preserve">If the workers’ compensation commissioner shall have reason to believe that there has not been compliance with the workers’ compensation law by any person or entity, the commissioner may on the commissioner’s own motion give notice to the person or entity and schedule a hearing for the purpose of determining whether there has been compliance by the person or entity. The notice shall state the time and place of the hearing and a brief statement of the matters to be considered. The notice of hearing may be given by ordinary mail or by Workers’ Compensation Electronic System (WCES) if the alleged noncompliant person or entity is registered in WCES and is currently participating in a contested case using WCES and may be given to the insurer for the employer in lieu of the employer as permitted by Iowa Code section </w:t>
      </w:r>
      <w:hyperlink r:id="rId42">
        <w:r>
          <w:rPr>
            <w:rStyle w:val="Hyperlink"/>
            <w:rFonts w:ascii="Times New Roman" w:hAnsi="Times New Roman"/>
            <w:b w:val="false"/>
            <w:i w:val="false"/>
            <w:color w:val="000000"/>
            <w:sz w:val="24"/>
          </w:rPr>
          <w:t>87.10</w:t>
        </w:r>
      </w:hyperlink>
      <w:r>
        <w:rPr>
          <w:rFonts w:ascii="Times New Roman" w:hAnsi="Times New Roman"/>
          <w:b w:val="false"/>
          <w:i w:val="false"/>
          <w:color w:val="000000"/>
          <w:sz w:val="24"/>
        </w:rPr>
        <w:t xml:space="preserve"> if the insurer has filed a report, pleading or motion that acknowledges that it is the insurer for the claim at issue. Following the hearing, the commissioner or a deputy workers’ compensation commissioner may issue a finding regarding compliance. In the event a failure to comply is found, the commissioner may impose sanctions in accordance with Iowa Code section </w:t>
      </w:r>
      <w:hyperlink r:id="rId43">
        <w:r>
          <w:rPr>
            <w:rStyle w:val="Hyperlink"/>
            <w:rFonts w:ascii="Times New Roman" w:hAnsi="Times New Roman"/>
            <w:b w:val="false"/>
            <w:i w:val="false"/>
            <w:color w:val="000000"/>
            <w:sz w:val="24"/>
          </w:rPr>
          <w:t>10A.314</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or </w:t>
      </w:r>
      <w:hyperlink r:id="rId45">
        <w:r>
          <w:rPr>
            <w:rStyle w:val="Hyperlink"/>
            <w:rFonts w:ascii="Times New Roman" w:hAnsi="Times New Roman"/>
            <w:b w:val="false"/>
            <w:i w:val="false"/>
            <w:color w:val="000000"/>
            <w:sz w:val="24"/>
          </w:rPr>
          <w:t>10A.316</w:t>
        </w:r>
      </w:hyperlink>
      <w:r>
        <w:rPr>
          <w:rFonts w:ascii="Times New Roman" w:hAnsi="Times New Roman"/>
          <w:b w:val="false"/>
          <w:i w:val="false"/>
          <w:color w:val="000000"/>
          <w:sz w:val="24"/>
        </w:rPr>
        <w:t xml:space="preserve"> or order compliance within a specified time and under specified circumstances. The commissioner may file a certified copy of the order in an appropriate district court and may file a certified copy of the order with the Iowa insurance division of the department of insurance and financial services with a request for action by the insurance division upon failure to comply with the order. Nothing in this rule shall prevent the commissioner from conducting an informal conference with any person or entity concerning problems of compliance prior to the initiation of a compliance proceeding.</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4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48">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876—2506.35</w:t>
      </w:r>
      <w:r>
        <w:rPr>
          <w:rFonts w:ascii="Times New Roman" w:hAnsi="Times New Roman"/>
          <w:b/>
          <w:i w:val="false"/>
          <w:color w:val="000000"/>
          <w:sz w:val="24"/>
        </w:rPr>
        <w:t xml:space="preserve">(10A,85,85A,85B,87) </w:t>
      </w:r>
      <w:r>
        <w:rPr>
          <w:rFonts w:ascii="Times New Roman" w:hAnsi="Times New Roman"/>
          <w:b/>
          <w:i w:val="false"/>
          <w:color w:val="000000"/>
          <w:sz w:val="24"/>
        </w:rPr>
        <w:t xml:space="preserve">Commencement by the workers’ compensation commissioner. </w:t>
      </w:r>
      <w:r>
        <w:rPr>
          <w:rFonts w:ascii="Times New Roman" w:hAnsi="Times New Roman"/>
          <w:b w:val="false"/>
          <w:i w:val="false"/>
          <w:color w:val="000000"/>
          <w:sz w:val="24"/>
        </w:rPr>
        <w:t xml:space="preserve">In addition to an aggrieved party, the workers’ compensation commissioner may initiate proceedings under subrule </w:t>
      </w:r>
      <w:hyperlink r:id="rId50">
        <w:r>
          <w:rPr>
            <w:rStyle w:val="Hyperlink"/>
            <w:rFonts w:ascii="Times New Roman" w:hAnsi="Times New Roman"/>
            <w:b w:val="false"/>
            <w:i w:val="false"/>
            <w:color w:val="000000"/>
            <w:sz w:val="24"/>
          </w:rPr>
          <w:t>2506.32(10)</w:t>
        </w:r>
      </w:hyperlink>
      <w:r>
        <w:rPr>
          <w:rFonts w:ascii="Times New Roman" w:hAnsi="Times New Roman"/>
          <w:b w:val="false"/>
          <w:i w:val="false"/>
          <w:color w:val="000000"/>
          <w:sz w:val="24"/>
        </w:rPr>
        <w:t xml:space="preserve">. The proceeding may be held before a deputy workers’ compensation commissioner or the commissioner. The commissioner shall be the only person to commence a proceeding under subrule </w:t>
      </w:r>
      <w:hyperlink r:id="rId51">
        <w:r>
          <w:rPr>
            <w:rStyle w:val="Hyperlink"/>
            <w:rFonts w:ascii="Times New Roman" w:hAnsi="Times New Roman"/>
            <w:b w:val="false"/>
            <w:i w:val="false"/>
            <w:color w:val="000000"/>
            <w:sz w:val="24"/>
          </w:rPr>
          <w:t>2506.32(13)</w:t>
        </w:r>
      </w:hyperlink>
      <w:r>
        <w:rPr>
          <w:rFonts w:ascii="Times New Roman" w:hAnsi="Times New Roman"/>
          <w:b w:val="false"/>
          <w:i w:val="false"/>
          <w:color w:val="000000"/>
          <w:sz w:val="24"/>
        </w:rPr>
        <w:t xml:space="preserve"> unless such authority is specifically delegated by the commissioner to a deputy commissioner concerning a specific matter.</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52">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53">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54">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55">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876—2506.36</w:t>
      </w:r>
      <w:r>
        <w:rPr>
          <w:rFonts w:ascii="Times New Roman" w:hAnsi="Times New Roman"/>
          <w:b/>
          <w:i w:val="false"/>
          <w:color w:val="000000"/>
          <w:sz w:val="24"/>
        </w:rPr>
        <w:t xml:space="preserve">(10A,17A,85) </w:t>
      </w:r>
      <w:r>
        <w:rPr>
          <w:rFonts w:ascii="Times New Roman" w:hAnsi="Times New Roman"/>
          <w:b/>
          <w:i w:val="false"/>
          <w:color w:val="000000"/>
          <w:sz w:val="24"/>
        </w:rPr>
        <w:t xml:space="preserve">Original notice and petition. </w:t>
      </w:r>
      <w:r>
        <w:rPr>
          <w:rFonts w:ascii="Times New Roman" w:hAnsi="Times New Roman"/>
          <w:b w:val="false"/>
          <w:i w:val="false"/>
          <w:color w:val="000000"/>
          <w:sz w:val="24"/>
        </w:rPr>
        <w:t>A petition or application must be delivered or filed with the original notice unless original notice Form 100, Form 100A, Form 100B, or Form 100D of the workers’ compensation division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2506.36(1)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original notice Form 100, Form 100A, Form 100B, Form 100C, Form 100D, or a determination of liability reimbursement for benefits paid and recovery of interest form shall provide for the data required in Iowa Code section </w:t>
      </w:r>
      <w:hyperlink r:id="rId56">
        <w:r>
          <w:rPr>
            <w:rStyle w:val="Hyperlink"/>
            <w:rFonts w:ascii="Times New Roman" w:hAnsi="Times New Roman"/>
            <w:b w:val="false"/>
            <w:i w:val="false"/>
            <w:color w:val="000000"/>
            <w:sz w:val="24"/>
          </w:rPr>
          <w:t>17A.12(2)</w:t>
        </w:r>
      </w:hyperlink>
      <w:r>
        <w:rPr>
          <w:rFonts w:ascii="Times New Roman" w:hAnsi="Times New Roman"/>
          <w:b w:val="false"/>
          <w:i w:val="false"/>
          <w:color w:val="000000"/>
          <w:sz w:val="24"/>
        </w:rPr>
        <w:t xml:space="preserve"> and shall contain factors relevant to the contested case proceedings listed in rule </w:t>
      </w:r>
      <w:hyperlink r:id="rId57">
        <w:r>
          <w:rPr>
            <w:rStyle w:val="Hyperlink"/>
            <w:rFonts w:ascii="Times New Roman" w:hAnsi="Times New Roman"/>
            <w:b w:val="false"/>
            <w:i w:val="false"/>
            <w:color w:val="000000"/>
            <w:sz w:val="24"/>
          </w:rPr>
          <w:t>876—2506.32</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Form 100 is to be used for all contested case proceedings, except as indicated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Form 100A is to be used for the contested case proceedings provided for in subrule </w:t>
      </w:r>
      <w:hyperlink r:id="rId58">
        <w:r>
          <w:rPr>
            <w:rStyle w:val="Hyperlink"/>
            <w:rFonts w:ascii="Times New Roman" w:hAnsi="Times New Roman"/>
            <w:b w:val="false"/>
            <w:i w:val="false"/>
            <w:color w:val="000000"/>
            <w:sz w:val="24"/>
          </w:rPr>
          <w:t>2506.32(12)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Form 100B is to be used for the contested case proceeding provided for in subrule </w:t>
      </w:r>
      <w:hyperlink r:id="rId59">
        <w:r>
          <w:rPr>
            <w:rStyle w:val="Hyperlink"/>
            <w:rFonts w:ascii="Times New Roman" w:hAnsi="Times New Roman"/>
            <w:b w:val="false"/>
            <w:i w:val="false"/>
            <w:color w:val="000000"/>
            <w:sz w:val="24"/>
          </w:rPr>
          <w:t>2506.32(8)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Form 100C is to be used for the contested case proceeding provided for in rules </w:t>
      </w:r>
      <w:hyperlink r:id="rId60">
        <w:r>
          <w:rPr>
            <w:rStyle w:val="Hyperlink"/>
            <w:rFonts w:ascii="Times New Roman" w:hAnsi="Times New Roman"/>
            <w:b w:val="false"/>
            <w:i w:val="false"/>
            <w:color w:val="000000"/>
            <w:sz w:val="24"/>
          </w:rPr>
          <w:t>876—2506.62</w:t>
        </w:r>
      </w:hyperlink>
      <w:r>
        <w:rPr>
          <w:rFonts w:ascii="Times New Roman" w:hAnsi="Times New Roman"/>
          <w:b w:val="false"/>
          <w:i w:val="false"/>
          <w:color w:val="000000"/>
          <w:sz w:val="24"/>
        </w:rPr>
        <w:t xml:space="preserve">(10A) and </w:t>
      </w:r>
      <w:hyperlink r:id="rId61">
        <w:r>
          <w:rPr>
            <w:rStyle w:val="Hyperlink"/>
            <w:rFonts w:ascii="Times New Roman" w:hAnsi="Times New Roman"/>
            <w:b w:val="false"/>
            <w:i w:val="false"/>
            <w:color w:val="000000"/>
            <w:sz w:val="24"/>
          </w:rPr>
          <w:t>876—2506.65</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Form 100D is to be used for the contested case proceeding provided for in rule </w:t>
      </w:r>
      <w:hyperlink r:id="rId62">
        <w:r>
          <w:rPr>
            <w:rStyle w:val="Hyperlink"/>
            <w:rFonts w:ascii="Times New Roman" w:hAnsi="Times New Roman"/>
            <w:b w:val="false"/>
            <w:i w:val="false"/>
            <w:color w:val="000000"/>
            <w:sz w:val="24"/>
          </w:rPr>
          <w:t>876—2506.67</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and consent order for payment of benefits under Iowa Code section </w:t>
      </w:r>
      <w:hyperlink r:id="rId63">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 xml:space="preserve"> is to be used for contested case proceedings brought under Iowa Code section </w:t>
      </w:r>
      <w:hyperlink r:id="rId64">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a commutation is sought, Form 200 or Form 201 must be filed in addition to any other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petition for declaratory order, approval of attorney fees, determination of compliance and other proceedings not covered in the original notice forms must accompany the original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2506.36(2)</w:t>
      </w:r>
      <w:r>
        <w:rPr>
          <w:rFonts w:ascii="Times New Roman" w:hAnsi="Times New Roman"/>
          <w:b w:val="false"/>
          <w:i w:val="false"/>
          <w:color w:val="000000"/>
          <w:sz w:val="24"/>
        </w:rPr>
        <w:t> </w:t>
      </w:r>
      <w:r>
        <w:rPr>
          <w:rFonts w:ascii="Times New Roman" w:hAnsi="Times New Roman"/>
          <w:b w:val="false"/>
          <w:i w:val="false"/>
          <w:color w:val="000000"/>
          <w:sz w:val="24"/>
        </w:rPr>
        <w:t>At the same time and in the same manner as service of the original notice and petition, the claimant shall serve a patient’s waiver using Form 3 (authorization for release of information regarding claimants seeking workers’ compensation benefits), or a substantially equivalent form, which shall not be revoked until conclusion of the contested case. The claimant shall provide the patient’s waivers in other forms and update the patient’s waivers as necessary to permit full disclosure of discoverable information whenever requested by a medical practitioner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2506.36(3)</w:t>
      </w:r>
      <w:r>
        <w:rPr>
          <w:rFonts w:ascii="Times New Roman" w:hAnsi="Times New Roman"/>
          <w:b w:val="false"/>
          <w:i w:val="false"/>
          <w:color w:val="000000"/>
          <w:sz w:val="24"/>
        </w:rPr>
        <w:t> </w:t>
      </w:r>
      <w:r>
        <w:rPr>
          <w:rFonts w:ascii="Times New Roman" w:hAnsi="Times New Roman"/>
          <w:b w:val="false"/>
          <w:i w:val="false"/>
          <w:color w:val="000000"/>
          <w:sz w:val="24"/>
        </w:rPr>
        <w:t>A separate original notice and petition shall be filed for each claim that seeks benefits due to the occurrence of an injury, occupational disease or occupational hearing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original notice and petition shall allege a specific date of occurrence consisting of a day, month and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Alternate or multiple dates of occurrence may be alleged in the same original notice and petition if the claim or claims arose from the same occurrence or series of occurrences and uncertainty exists concerning the correct date of occurrence or the number of occurrences.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employee may join any number of employers or insurance carriers in the same original notice and petition if the claim is made against them jointly, severally or in the alternative. The remedy for misjoinder must be requested by motion within a reasonable time after the grounds become known but in no event later than the claimant’s case preparation completion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remedies will be applied without prejudice to any claim or defense.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remedies contained in Iowa </w:t>
      </w:r>
      <w:r>
        <w:rPr>
          <w:rFonts w:ascii="Times New Roman" w:hAnsi="Times New Roman"/>
          <w:b w:val="false"/>
          <w:i w:val="false"/>
          <w:color w:val="000000"/>
          <w:sz w:val="24"/>
        </w:rPr>
        <w:t>R. Civ. P. 1.236</w:t>
      </w:r>
      <w:r>
        <w:rPr>
          <w:rFonts w:ascii="Times New Roman" w:hAnsi="Times New Roman"/>
          <w:b w:val="false"/>
          <w:i w:val="false"/>
          <w:color w:val="000000"/>
          <w:sz w:val="24"/>
        </w:rPr>
        <w:t>, the workers’ compensation commissioner may order that parts of a claim be severed and proceeded with separately or that separate related claims be joined or consolidated for administrative convenience or for any good cause. If a correction is ordered but not made by a date specified in the order, the original notice and petition may be dismissed without further notice. If the correction is made within the specified time, the correction relates back to the date of the initial filing for purposes of the statute of limitations.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65">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sections </w:t>
      </w:r>
      <w:hyperlink r:id="rId66">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67">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85.48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876—2506.37</w:t>
      </w:r>
      <w:r>
        <w:rPr>
          <w:rFonts w:ascii="Times New Roman" w:hAnsi="Times New Roman"/>
          <w:b/>
          <w:i w:val="false"/>
          <w:color w:val="000000"/>
          <w:sz w:val="24"/>
        </w:rPr>
        <w:t xml:space="preserve">(17A,85) </w:t>
      </w:r>
      <w:r>
        <w:rPr>
          <w:rFonts w:ascii="Times New Roman" w:hAnsi="Times New Roman"/>
          <w:b/>
          <w:i w:val="false"/>
          <w:color w:val="000000"/>
          <w:sz w:val="24"/>
        </w:rPr>
        <w:t xml:space="preserve">Delivery of notice, orders, rulings and decisions. </w:t>
      </w:r>
      <w:r>
        <w:rPr>
          <w:rFonts w:ascii="Times New Roman" w:hAnsi="Times New Roman"/>
          <w:b w:val="false"/>
          <w:i w:val="false"/>
          <w:color w:val="000000"/>
          <w:sz w:val="24"/>
        </w:rPr>
        <w:t xml:space="preserve">Delivery of the original notice shall be made by the petitioning party as provided in Iowa Code section </w:t>
      </w:r>
      <w:hyperlink r:id="rId70">
        <w:r>
          <w:rPr>
            <w:rStyle w:val="Hyperlink"/>
            <w:rFonts w:ascii="Times New Roman" w:hAnsi="Times New Roman"/>
            <w:b w:val="false"/>
            <w:i w:val="false"/>
            <w:color w:val="000000"/>
            <w:sz w:val="24"/>
          </w:rPr>
          <w:t>17A.12(1)</w:t>
        </w:r>
      </w:hyperlink>
      <w:r>
        <w:rPr>
          <w:rFonts w:ascii="Times New Roman" w:hAnsi="Times New Roman"/>
          <w:b w:val="false"/>
          <w:i w:val="false"/>
          <w:color w:val="000000"/>
          <w:sz w:val="24"/>
        </w:rPr>
        <w:t xml:space="preserve">, except that a party may deliver the original notice on a nonresident employer as provided in Iowa Code section </w:t>
      </w:r>
      <w:hyperlink r:id="rId71">
        <w:r>
          <w:rPr>
            <w:rStyle w:val="Hyperlink"/>
            <w:rFonts w:ascii="Times New Roman" w:hAnsi="Times New Roman"/>
            <w:b w:val="false"/>
            <w:i w:val="false"/>
            <w:color w:val="000000"/>
            <w:sz w:val="24"/>
          </w:rPr>
          <w:t>85.3</w:t>
        </w:r>
      </w:hyperlink>
      <w:r>
        <w:rPr>
          <w:rFonts w:ascii="Times New Roman" w:hAnsi="Times New Roman"/>
          <w:b w:val="false"/>
          <w:i w:val="false"/>
          <w:color w:val="000000"/>
          <w:sz w:val="24"/>
        </w:rPr>
        <w:t>. A proposed or final decision, order or ruling may be delivered by the workers’ compensation division to any party by regular mail, by email or by WCES. Filing of a notice, ruling and decision in WCES is the official filing and start of any appeal or motion deadline.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73">
        <w:r>
          <w:rPr>
            <w:rStyle w:val="Hyperlink"/>
            <w:rFonts w:ascii="Times New Roman" w:hAnsi="Times New Roman"/>
            <w:b w:val="false"/>
            <w:i w:val="false"/>
            <w:color w:val="000000"/>
            <w:sz w:val="24"/>
          </w:rPr>
          <w:t>85.3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876—2506.38</w:t>
      </w:r>
      <w:r>
        <w:rPr>
          <w:rFonts w:ascii="Times New Roman" w:hAnsi="Times New Roman"/>
          <w:b/>
          <w:i w:val="false"/>
          <w:color w:val="000000"/>
          <w:sz w:val="24"/>
        </w:rPr>
        <w:t xml:space="preserve">(17A) </w:t>
      </w:r>
      <w:r>
        <w:rPr>
          <w:rFonts w:ascii="Times New Roman" w:hAnsi="Times New Roman"/>
          <w:b/>
          <w:i w:val="false"/>
          <w:color w:val="000000"/>
          <w:sz w:val="24"/>
        </w:rPr>
        <w:t xml:space="preserve">Filing of notice.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2506.38(1)</w:t>
      </w:r>
      <w:r>
        <w:rPr>
          <w:rFonts w:ascii="Times New Roman" w:hAnsi="Times New Roman"/>
          <w:b w:val="false"/>
          <w:i w:val="false"/>
          <w:color w:val="000000"/>
          <w:sz w:val="24"/>
        </w:rPr>
        <w:t> </w:t>
      </w:r>
      <w:r>
        <w:rPr>
          <w:rFonts w:ascii="Times New Roman" w:hAnsi="Times New Roman"/>
          <w:b w:val="false"/>
          <w:i w:val="false"/>
          <w:color w:val="000000"/>
          <w:sz w:val="24"/>
        </w:rPr>
        <w:t xml:space="preserve">A contested case is commenced by filing the original notice and petition with the workers’ compensation commissioner. No action shall be taken by the commissioner on any contested case against an adverse party unless the adverse party has answered or unless it can be shown by proper proof that the adverse party has been properly served. The original notice and petition if required by rule </w:t>
      </w:r>
      <w:hyperlink r:id="rId74">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(10A,17A,85) shall be accompanied by proof that the petitioner has deposited copies of such documents with the U.S. post office for delivery by certified mail, return receipt requested, upon the respondent or has submitted such copies to a proper person for delivery of personal service as in civil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2506.38(2)</w:t>
      </w:r>
      <w:r>
        <w:rPr>
          <w:rFonts w:ascii="Times New Roman" w:hAnsi="Times New Roman"/>
          <w:b w:val="false"/>
          <w:i w:val="false"/>
          <w:color w:val="000000"/>
          <w:sz w:val="24"/>
        </w:rPr>
        <w:t> </w:t>
      </w:r>
      <w:r>
        <w:rPr>
          <w:rFonts w:ascii="Times New Roman" w:hAnsi="Times New Roman"/>
          <w:b w:val="false"/>
          <w:i w:val="false"/>
          <w:color w:val="000000"/>
          <w:sz w:val="24"/>
        </w:rPr>
        <w:t>Filing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all original notices and petitions for arbitration or review-reopening relating to weekly benefits filed on account of each injury, occupational disease or occupational hearing loss alleged, a filing fee shall be paid at the time of filing. The filing fee for petitions is $125. No filing fee is due for the filing of other actions where the sole relief sought is one of the following or a combination of any of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and other benefits under Iowa Code section </w:t>
      </w:r>
      <w:hyperlink r:id="rId75">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Burial benefits under Iowa Code section </w:t>
      </w:r>
      <w:hyperlink r:id="rId76">
        <w:r>
          <w:rPr>
            <w:rStyle w:val="Hyperlink"/>
            <w:rFonts w:ascii="Times New Roman" w:hAnsi="Times New Roman"/>
            <w:b w:val="false"/>
            <w:i w:val="false"/>
            <w:color w:val="000000"/>
            <w:sz w:val="24"/>
          </w:rPr>
          <w:t>85.28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dependency under Iowa Code sections </w:t>
      </w:r>
      <w:hyperlink r:id="rId77">
        <w:r>
          <w:rPr>
            <w:rStyle w:val="Hyperlink"/>
            <w:rFonts w:ascii="Times New Roman" w:hAnsi="Times New Roman"/>
            <w:b w:val="false"/>
            <w:i w:val="false"/>
            <w:color w:val="000000"/>
            <w:sz w:val="24"/>
          </w:rPr>
          <w:t>85.42</w:t>
        </w:r>
      </w:hyperlink>
      <w:r>
        <w:rPr>
          <w:rFonts w:ascii="Times New Roman" w:hAnsi="Times New Roman"/>
          <w:b w:val="false"/>
          <w:i w:val="false"/>
          <w:color w:val="000000"/>
          <w:sz w:val="24"/>
        </w:rPr>
        <w:t xml:space="preserve"> through </w:t>
      </w:r>
      <w:hyperlink r:id="rId78">
        <w:r>
          <w:rPr>
            <w:rStyle w:val="Hyperlink"/>
            <w:rFonts w:ascii="Times New Roman" w:hAnsi="Times New Roman"/>
            <w:b w:val="false"/>
            <w:i w:val="false"/>
            <w:color w:val="000000"/>
            <w:sz w:val="24"/>
          </w:rPr>
          <w:t>85.44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Equitable apportionment under Iowa Code section </w:t>
      </w:r>
      <w:hyperlink r:id="rId79">
        <w:r>
          <w:rPr>
            <w:rStyle w:val="Hyperlink"/>
            <w:rFonts w:ascii="Times New Roman" w:hAnsi="Times New Roman"/>
            <w:b w:val="false"/>
            <w:i w:val="false"/>
            <w:color w:val="000000"/>
            <w:sz w:val="24"/>
          </w:rPr>
          <w:t>85.43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 injury fund under Iowa Code sections </w:t>
      </w:r>
      <w:hyperlink r:id="rId80">
        <w:r>
          <w:rPr>
            <w:rStyle w:val="Hyperlink"/>
            <w:rFonts w:ascii="Times New Roman" w:hAnsi="Times New Roman"/>
            <w:b w:val="false"/>
            <w:i w:val="false"/>
            <w:color w:val="000000"/>
            <w:sz w:val="24"/>
          </w:rPr>
          <w:t>85.63</w:t>
        </w:r>
      </w:hyperlink>
      <w:r>
        <w:rPr>
          <w:rFonts w:ascii="Times New Roman" w:hAnsi="Times New Roman"/>
          <w:b w:val="false"/>
          <w:i w:val="false"/>
          <w:color w:val="000000"/>
          <w:sz w:val="24"/>
        </w:rPr>
        <w:t xml:space="preserve"> through </w:t>
      </w:r>
      <w:hyperlink r:id="rId81">
        <w:r>
          <w:rPr>
            <w:rStyle w:val="Hyperlink"/>
            <w:rFonts w:ascii="Times New Roman" w:hAnsi="Times New Roman"/>
            <w:b w:val="false"/>
            <w:i w:val="false"/>
            <w:color w:val="000000"/>
            <w:sz w:val="24"/>
          </w:rPr>
          <w:t>85.69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rehabilitation benefits under Iowa Code section </w:t>
      </w:r>
      <w:hyperlink r:id="rId82">
        <w:r>
          <w:rPr>
            <w:rStyle w:val="Hyperlink"/>
            <w:rFonts w:ascii="Times New Roman" w:hAnsi="Times New Roman"/>
            <w:b w:val="false"/>
            <w:i w:val="false"/>
            <w:color w:val="000000"/>
            <w:sz w:val="24"/>
          </w:rPr>
          <w:t>85.70(1)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training and education benefits under Iowa Code section </w:t>
      </w:r>
      <w:hyperlink r:id="rId83">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Approval of legal, medical and other fees under Iowa Code section </w:t>
      </w:r>
      <w:hyperlink r:id="rId84">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Commutation under Iowa Code sections </w:t>
      </w:r>
      <w:hyperlink r:id="rId85">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w:t>
      </w:r>
      <w:hyperlink r:id="rId86">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 xml:space="preserve"> and </w:t>
      </w:r>
      <w:hyperlink r:id="rId87">
        <w:r>
          <w:rPr>
            <w:rStyle w:val="Hyperlink"/>
            <w:rFonts w:ascii="Times New Roman" w:hAnsi="Times New Roman"/>
            <w:b w:val="false"/>
            <w:i w:val="false"/>
            <w:color w:val="000000"/>
            <w:sz w:val="24"/>
          </w:rPr>
          <w:t>85.48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examination under Iowa Code section </w:t>
      </w:r>
      <w:hyperlink r:id="rId88">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examination or sanctions under Iowa Code section </w:t>
      </w:r>
      <w:hyperlink r:id="rId89">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alternate care under Iowa Code section </w:t>
      </w:r>
      <w:hyperlink r:id="rId90">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liability, reimbursement for benefits paid and recovery of interest under Iowa Code section </w:t>
      </w:r>
      <w:hyperlink r:id="rId91">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under Iowa Code section </w:t>
      </w:r>
      <w:hyperlink r:id="rId92">
        <w:r>
          <w:rPr>
            <w:rStyle w:val="Hyperlink"/>
            <w:rFonts w:ascii="Times New Roman" w:hAnsi="Times New Roman"/>
            <w:b w:val="false"/>
            <w:i w:val="false"/>
            <w:color w:val="000000"/>
            <w:sz w:val="24"/>
          </w:rPr>
          <w:t>85.30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 xml:space="preserve">Penalty under Iowa Code section </w:t>
      </w:r>
      <w:hyperlink r:id="rId93">
        <w:r>
          <w:rPr>
            <w:rStyle w:val="Hyperlink"/>
            <w:rFonts w:ascii="Times New Roman" w:hAnsi="Times New Roman"/>
            <w:b w:val="false"/>
            <w:i w:val="false"/>
            <w:color w:val="000000"/>
            <w:sz w:val="24"/>
          </w:rPr>
          <w:t>10A.315(4)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approval of third-party settlement under Iowa Code section </w:t>
      </w:r>
      <w:hyperlink r:id="rId94">
        <w:r>
          <w:rPr>
            <w:rStyle w:val="Hyperlink"/>
            <w:rFonts w:ascii="Times New Roman" w:hAnsi="Times New Roman"/>
            <w:b w:val="false"/>
            <w:i w:val="false"/>
            <w:color w:val="000000"/>
            <w:sz w:val="24"/>
          </w:rPr>
          <w:t>85.22</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Petitions for declaratory orders or petitions for interventions. An amendment to a petition that alleges an additional or alternate date of occurrence does not require payment of an additional filing fee if a filing fee was paid when the petition was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filing fee shall be required for each original notice and petition filed as required in paragraph </w:t>
      </w:r>
      <w:hyperlink r:id="rId95">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“a.”</w:t>
      </w:r>
      <w:r>
        <w:rPr>
          <w:rFonts w:ascii="Times New Roman" w:hAnsi="Times New Roman"/>
          <w:b w:val="false"/>
          <w:i w:val="false"/>
          <w:color w:val="000000"/>
          <w:sz w:val="24"/>
        </w:rPr>
        <w:t xml:space="preserve"> If a party overpays a filing fee, the party may receive a refund. The party who made the overpayment must request a refund before June 1 of the fiscal year in which the overpayment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no filing fee is paid at the time of filing of the original notice and petition, the workers’ compensation commissioner shall return the original notice and petition to the party filing it. Filing an original notice and petition without paying the fee shall not toll the statute of limitations. Tendering an amount less than required will be considered failure to pay a filing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filing fee may be taxed as a cost to the losing party in the case. If the filing fee would impose an undue hardship or be unjust in the circumstances for the losing party, the filing fee may be taxed as costs to the winning party in the case. More information can be found in rule </w:t>
      </w:r>
      <w:hyperlink r:id="rId96">
        <w:r>
          <w:rPr>
            <w:rStyle w:val="Hyperlink"/>
            <w:rFonts w:ascii="Times New Roman" w:hAnsi="Times New Roman"/>
            <w:b w:val="false"/>
            <w:i w:val="false"/>
            <w:color w:val="000000"/>
            <w:sz w:val="24"/>
          </w:rPr>
          <w:t>876—2506.59</w:t>
        </w:r>
      </w:hyperlink>
      <w:r>
        <w:rPr>
          <w:rFonts w:ascii="Times New Roman" w:hAnsi="Times New Roman"/>
          <w:b w:val="false"/>
          <w:i w:val="false"/>
          <w:color w:val="000000"/>
          <w:sz w:val="24"/>
        </w:rPr>
        <w:t>(10A).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filing fee shall be paid at the same time the petition is filed. The filing fee shall be paid electronically with a credit card, via automated clearing house (ACH), or by other electronic means as allowed by WCES unless an order granting permission for nonelectronic payment has been issued. If an order granting permission for nonelectronic payment has been issued, the party filing the petition shall issue a check payable to the Iowa Workers’ Compensation Division. If the payment of the filing fee is made by an account with insufficient funds or the payment is stopped or the payment is otherwise not honored, it will be treated as a failure to pay the correct filing fee. More information can be found in paragraph </w:t>
      </w:r>
      <w:hyperlink r:id="rId97">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“c.”</w:t>
      </w:r>
      <w:r>
        <w:rPr>
          <w:rFonts w:ascii="Times New Roman" w:hAnsi="Times New Roman"/>
          <w:b w:val="false"/>
          <w:i w:val="false"/>
          <w:color w:val="000000"/>
          <w:sz w:val="24"/>
        </w:rPr>
        <w:t xml:space="preserve"> Nonelectronic payment will not be accepted without an order granting permission for nonelectronic payment. The statute of limitations is not tolled if a party has requested nonelectronic payment and is awaiting an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workers’ compensation commissioner may accept for filing an original notice and petition without prepayment of the filing fee if in the discretion of the commissioner the petitioner is unable to pay the fee at the time of filing. A deferral of payment of the filing fee shall only be granted upon written application by the petitioner. The application shall be filed at the same time the original notice and petition is filed. The application shall be in the form required by the commissioner and shall include an affidavit signed by the petitioner. When payment of the filing fee is deferred, provisions for payment of the filing fee must be included in any settlement submitted to the commissioner for approval or taxed as costs. When the application for deferral of payment of the filing fee is denied, the filing fee shall be paid as ordered. More information can be found in paragraph </w:t>
      </w:r>
      <w:hyperlink r:id="rId98">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form for the application deferral of prepayment of fees (Form 102) shall not be filed using WCES. The document shall be filed in paper form. If the request for deferral of fees is granted, a claim will be established in WCES. Parties to the claim shall use WCES for future filings unless a party has been granted a waiver of the mandatory use of WCES.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Parties shall use the payment gateway in WCES to pay filing fees unless an order has been issued allowing deferral of the payment of the filing fee or payment outside of WCES. In addition to the filing fee, the parties shall pay the convenience fee charged by the financial institution that is processing payment for WCES. This cost may be recoverable under rule </w:t>
      </w:r>
      <w:hyperlink r:id="rId99">
        <w:r>
          <w:rPr>
            <w:rStyle w:val="Hyperlink"/>
            <w:rFonts w:ascii="Times New Roman" w:hAnsi="Times New Roman"/>
            <w:b w:val="false"/>
            <w:i w:val="false"/>
            <w:color w:val="000000"/>
            <w:sz w:val="24"/>
          </w:rPr>
          <w:t>876—2506.59</w:t>
        </w:r>
      </w:hyperlink>
      <w:r>
        <w:rPr>
          <w:rFonts w:ascii="Times New Roman" w:hAnsi="Times New Roman"/>
          <w:b w:val="false"/>
          <w:i w:val="false"/>
          <w:color w:val="000000"/>
          <w:sz w:val="24"/>
        </w:rPr>
        <w:t>(10A).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0">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876—2506.39</w:t>
      </w:r>
      <w:r>
        <w:rPr>
          <w:rFonts w:ascii="Times New Roman" w:hAnsi="Times New Roman"/>
          <w:b/>
          <w:i w:val="false"/>
          <w:color w:val="000000"/>
          <w:sz w:val="24"/>
        </w:rPr>
        <w:t xml:space="preserve">(17A) </w:t>
      </w:r>
      <w:r>
        <w:rPr>
          <w:rFonts w:ascii="Times New Roman" w:hAnsi="Times New Roman"/>
          <w:b/>
          <w:i w:val="false"/>
          <w:color w:val="000000"/>
          <w:sz w:val="24"/>
        </w:rPr>
        <w:t xml:space="preserve">Appearance and responses, pleadings, motions and settlements. </w:t>
      </w:r>
      <w:r>
        <w:rPr>
          <w:rFonts w:ascii="Times New Roman" w:hAnsi="Times New Roman"/>
          <w:b w:val="false"/>
          <w:i w:val="false"/>
          <w:color w:val="000000"/>
          <w:sz w:val="24"/>
        </w:rPr>
        <w:t xml:space="preserve">Appearances and responses to pleadings and motions shall be made in WCES. Registration with the division of workers’ compensation’s WCES is required. Registration is accepted at </w:t>
      </w:r>
      <w:hyperlink r:id="rId101">
        <w:r>
          <w:rPr>
            <w:rStyle w:val="Hyperlink"/>
            <w:rFonts w:ascii="Times New Roman" w:hAnsi="Times New Roman"/>
            <w:b w:val="false"/>
            <w:i w:val="false"/>
            <w:color w:val="000000"/>
            <w:sz w:val="24"/>
            <w:u w:val="single"/>
          </w:rPr>
          <w:t>efile.iowaworkcomp.gov</w:t>
        </w:r>
      </w:hyperlink>
      <w:r>
        <w:rPr>
          <w:rFonts w:ascii="Times New Roman" w:hAnsi="Times New Roman"/>
          <w:b w:val="false"/>
          <w:i w:val="false"/>
          <w:color w:val="000000"/>
          <w:sz w:val="24"/>
        </w:rPr>
        <w:t xml:space="preserve">. After a matter has been commenced and the respondent has been served with an original notice and filed an answer or appearance, subsequent filings or submissions in WCES do not require proof of service to parties of record who are registered with WCES. If a party has been granted a waiver of the mandatory use of WCES, the party shall include a proof of service for all parties of record. Attorneys will need to use the AT PIN or pro hac vice PIN assigned by the Iowa Supreme Court to be associated with a case in WCES. When an attorney is not representing a party, the employer or insurance carrier or the employer’s or insurance carrier’s agent or claimant shall register in WCES to file the settlement or medical data pursuant to </w:t>
      </w:r>
      <w:hyperlink r:id="rId102">
        <w:r>
          <w:rPr>
            <w:rStyle w:val="Hyperlink"/>
            <w:rFonts w:ascii="Times New Roman" w:hAnsi="Times New Roman"/>
            <w:b w:val="false"/>
            <w:i w:val="false"/>
            <w:color w:val="000000"/>
            <w:sz w:val="24"/>
          </w:rPr>
          <w:t>876—subrule 3.1(2)</w:t>
        </w:r>
      </w:hyperlink>
      <w:r>
        <w:rPr>
          <w:rFonts w:ascii="Times New Roman" w:hAnsi="Times New Roman"/>
          <w:b w:val="false"/>
          <w:i w:val="false"/>
          <w:color w:val="000000"/>
          <w:sz w:val="24"/>
        </w:rPr>
        <w:t>. The filer will receive a status update for the information the filer submits based upon the status the filer selects when registering in WCES.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2506.39(1)</w:t>
      </w:r>
      <w:r>
        <w:rPr>
          <w:rFonts w:ascii="Times New Roman" w:hAnsi="Times New Roman"/>
          <w:b w:val="false"/>
          <w:i w:val="false"/>
          <w:color w:val="000000"/>
          <w:sz w:val="24"/>
        </w:rPr>
        <w:t> </w:t>
      </w:r>
      <w:r>
        <w:rPr>
          <w:rFonts w:ascii="Times New Roman" w:hAnsi="Times New Roman"/>
          <w:b w:val="false"/>
          <w:i/>
          <w:color w:val="000000"/>
          <w:sz w:val="24"/>
        </w:rPr>
        <w:t xml:space="preserve">Motions. </w:t>
      </w:r>
      <w:r>
        <w:rPr>
          <w:rFonts w:ascii="Times New Roman" w:hAnsi="Times New Roman"/>
          <w:b w:val="false"/>
          <w:i w:val="false"/>
          <w:color w:val="000000"/>
          <w:sz w:val="24"/>
        </w:rPr>
        <w:t>Motions attacking a pleading must be served before responding to a pleading or, if no responsive pleading is required, upon motion made by a party within 20 days after the service of the pleading on such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2506.39(2)</w:t>
      </w:r>
      <w:r>
        <w:rPr>
          <w:rFonts w:ascii="Times New Roman" w:hAnsi="Times New Roman"/>
          <w:b w:val="false"/>
          <w:i w:val="false"/>
          <w:color w:val="000000"/>
          <w:sz w:val="24"/>
        </w:rPr>
        <w:t> </w:t>
      </w:r>
      <w:r>
        <w:rPr>
          <w:rFonts w:ascii="Times New Roman" w:hAnsi="Times New Roman"/>
          <w:b w:val="false"/>
          <w:i/>
          <w:color w:val="000000"/>
          <w:sz w:val="24"/>
        </w:rPr>
        <w:t xml:space="preserve">Time after motions attacking pleadings and special appearances. </w:t>
      </w:r>
      <w:r>
        <w:rPr>
          <w:rFonts w:ascii="Times New Roman" w:hAnsi="Times New Roman"/>
          <w:b w:val="false"/>
          <w:i w:val="false"/>
          <w:color w:val="000000"/>
          <w:sz w:val="24"/>
        </w:rPr>
        <w:t>If a motion attacking a pleading is so disposed of as to require further pleading, such further pleading shall be served within ten days after notice of the action of the workers’ compensation commissioner or deputy workers’ compensation commissioner. If the further pleading requires a response, the response shall be filed within ten days after service of the further pleading.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2506.39(3)</w:t>
      </w:r>
      <w:r>
        <w:rPr>
          <w:rFonts w:ascii="Times New Roman" w:hAnsi="Times New Roman"/>
          <w:b w:val="false"/>
          <w:i w:val="false"/>
          <w:color w:val="000000"/>
          <w:sz w:val="24"/>
        </w:rPr>
        <w:t> </w:t>
      </w:r>
      <w:r>
        <w:rPr>
          <w:rFonts w:ascii="Times New Roman" w:hAnsi="Times New Roman"/>
          <w:b w:val="false"/>
          <w:i/>
          <w:color w:val="000000"/>
          <w:sz w:val="24"/>
        </w:rPr>
        <w:t xml:space="preserve">Form, submission and ruling on motions.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motions, including pre-answer motions and motions for summary judgment, shall have appended to them a concise memorandum brief and argument. All motions except motions for summary judgment shall be deemed submitted without hearing on the record presented on the tenth day following filing. Motions for summary judgment shall be deemed submitted as provided in Iowa </w:t>
      </w:r>
      <w:r>
        <w:rPr>
          <w:rFonts w:ascii="Times New Roman" w:hAnsi="Times New Roman"/>
          <w:b w:val="false"/>
          <w:i w:val="false"/>
          <w:color w:val="000000"/>
          <w:sz w:val="24"/>
        </w:rPr>
        <w:t>R. Civ. P. 1.981</w:t>
      </w:r>
      <w:r>
        <w:rPr>
          <w:rFonts w:ascii="Times New Roman" w:hAnsi="Times New Roman"/>
          <w:b w:val="false"/>
          <w:i w:val="false"/>
          <w:color w:val="000000"/>
          <w:sz w:val="24"/>
        </w:rPr>
        <w:t>. Resistances to motions shall have appended to them a concise memorandum brief and argument and shall be filed on or before the date of submission. Briefs and arguments are waived unless appended to the motion or resistance.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order may be entered consolidating any motion for ruling with the hearing of the contested case. Any party desiring a ruling on a motion prior to the hearing may concisely set forth the necessity of prior ruling in the motion, application or resistance. If a pre-answer motion alleging lack of jurisdiction is overruled or consolidated with hearing of the contested case, the party shall plead to the merits and proceed to hearing of the contested case without submitting to the jurisdiction of the commissioner. If a motion attacking a pleading is consolidated with hearing of the contested case, the party shall respond to the pleading in the same manner as if the motion had been overruled.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2506.39(4)</w:t>
      </w:r>
      <w:r>
        <w:rPr>
          <w:rFonts w:ascii="Times New Roman" w:hAnsi="Times New Roman"/>
          <w:b w:val="false"/>
          <w:i w:val="false"/>
          <w:color w:val="000000"/>
          <w:sz w:val="24"/>
        </w:rPr>
        <w:t> </w:t>
      </w:r>
      <w:r>
        <w:rPr>
          <w:rFonts w:ascii="Times New Roman" w:hAnsi="Times New Roman"/>
          <w:b w:val="false"/>
          <w:i/>
          <w:color w:val="000000"/>
          <w:sz w:val="24"/>
        </w:rPr>
        <w:t xml:space="preserve">Withdrawal of counsel.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Counsel may withdraw if another counsel has appeared or if the client’s written consent accompanies the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Under all other circumstances, counsel may withdraw only upon the order of the commissioner after making written application. Counsel shall give the client written notice that the client has the right to object to the withdrawal by filing written objections and a request for a hearing to the Workers’ Compensation Division, 6200 Park Avenue, Suite 100, Des Moines, Iowa 50321, within ten days following the date the notice was mailed or personally delivered to the client. The client’s response does not need to be filed in WCES but may be mailed or delivered to the division. Counsel’s application shall be accompanied by proof that a copy of the application and notice was sent by certified mail addressed to the client’s last-known address or was delivered to the client personally. If no objections are timely filed, the withdrawal will become effective when approved by the commissioner. If objections are timely filed, a hearing on the application will be held. No withdrawal under this subrule will be effective without the approval of the commissioner. The filing of an application to withdraw stays all pending matters until a ruling is made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2506.39(5)</w:t>
      </w:r>
      <w:r>
        <w:rPr>
          <w:rFonts w:ascii="Times New Roman" w:hAnsi="Times New Roman"/>
          <w:b w:val="false"/>
          <w:i w:val="false"/>
          <w:color w:val="000000"/>
          <w:sz w:val="24"/>
        </w:rPr>
        <w:t> </w:t>
      </w:r>
      <w:r>
        <w:rPr>
          <w:rFonts w:ascii="Times New Roman" w:hAnsi="Times New Roman"/>
          <w:b w:val="false"/>
          <w:i/>
          <w:color w:val="000000"/>
          <w:sz w:val="24"/>
        </w:rPr>
        <w:t xml:space="preserve">Pro hac vice. </w:t>
      </w:r>
      <w:r>
        <w:rPr>
          <w:rFonts w:ascii="Times New Roman" w:hAnsi="Times New Roman"/>
          <w:b w:val="false"/>
          <w:i w:val="false"/>
          <w:color w:val="000000"/>
          <w:sz w:val="24"/>
        </w:rPr>
        <w:t xml:space="preserve">An out-of-state attorney desiring to appear pro hac vice in an Iowa workers’ compensation division case is required to access the office of professional regulation/supreme court commissions (OPR/SCC) website, submit certain personal information to complete pertinent fields in the lawyer database, and pay a fee that will be deposited in the client security trust fund. The registration and fee payment allow the attorney to apply to appear pro hac vice in division of workers’ compensation cases, subject to the limits and requirements of </w:t>
      </w:r>
      <w:r>
        <w:rPr>
          <w:rFonts w:ascii="Times New Roman" w:hAnsi="Times New Roman"/>
          <w:b w:val="false"/>
          <w:i w:val="false"/>
          <w:color w:val="000000"/>
          <w:sz w:val="24"/>
        </w:rPr>
        <w:t>Iowa Ct. R. 31.14</w:t>
      </w:r>
      <w:r>
        <w:rPr>
          <w:rFonts w:ascii="Times New Roman" w:hAnsi="Times New Roman"/>
          <w:b w:val="false"/>
          <w:i w:val="false"/>
          <w:color w:val="000000"/>
          <w:sz w:val="24"/>
        </w:rPr>
        <w:t xml:space="preserve">, for a period of up to five years from the date of registration. Attorneys who register and pay the fee appear in the OPR/SCC database with the status of “pro hac vice.” The division of workers’ compensation will request from the Iowa courts that a pro hac vice number be issued and will provide that number to the out-of-state attorney for registration with WCES. The affiliated in-state attorney shall file in WCES the application to appear pro hac vice completed by the out-of-state attorney using a pleading that is substantially similar to </w:t>
      </w:r>
      <w:r>
        <w:rPr>
          <w:rFonts w:ascii="Times New Roman" w:hAnsi="Times New Roman"/>
          <w:b w:val="false"/>
          <w:i w:val="false"/>
          <w:color w:val="000000"/>
          <w:sz w:val="24"/>
        </w:rPr>
        <w:t>Iowa Ct. R. 31.25</w:t>
      </w:r>
      <w:r>
        <w:rPr>
          <w:rFonts w:ascii="Times New Roman" w:hAnsi="Times New Roman"/>
          <w:b w:val="false"/>
          <w:i w:val="false"/>
          <w:color w:val="000000"/>
          <w:sz w:val="24"/>
        </w:rPr>
        <w:t>—Form 1.</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876—2506.40</w:t>
      </w:r>
      <w:r>
        <w:rPr>
          <w:rFonts w:ascii="Times New Roman" w:hAnsi="Times New Roman"/>
          <w:b/>
          <w:i w:val="false"/>
          <w:color w:val="000000"/>
          <w:sz w:val="24"/>
        </w:rPr>
        <w:t xml:space="preserve">(10A,87) </w:t>
      </w:r>
      <w:r>
        <w:rPr>
          <w:rFonts w:ascii="Times New Roman" w:hAnsi="Times New Roman"/>
          <w:b/>
          <w:i w:val="false"/>
          <w:color w:val="000000"/>
          <w:sz w:val="24"/>
        </w:rPr>
        <w:t xml:space="preserve">Insurance carrier as a party. </w:t>
      </w:r>
      <w:r>
        <w:rPr>
          <w:rFonts w:ascii="Times New Roman" w:hAnsi="Times New Roman"/>
          <w:b w:val="false"/>
          <w:i w:val="false"/>
          <w:color w:val="000000"/>
          <w:sz w:val="24"/>
        </w:rPr>
        <w:t>Whenever any insurance carrier shall issue a policy with a clause in substance providing that jurisdiction of the employer is jurisdiction of the insurance carrier, the insurance carrier shall be deemed a party in any action against the insured.</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04">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section </w:t>
      </w:r>
      <w:hyperlink r:id="rId105">
        <w:r>
          <w:rPr>
            <w:rStyle w:val="Hyperlink"/>
            <w:rFonts w:ascii="Times New Roman" w:hAnsi="Times New Roman"/>
            <w:b w:val="false"/>
            <w:i w:val="false"/>
            <w:color w:val="000000"/>
            <w:sz w:val="24"/>
          </w:rPr>
          <w:t>87.10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876—2506.41</w:t>
      </w:r>
      <w:r>
        <w:rPr>
          <w:rFonts w:ascii="Times New Roman" w:hAnsi="Times New Roman"/>
          <w:b/>
          <w:i w:val="false"/>
          <w:color w:val="000000"/>
          <w:sz w:val="24"/>
        </w:rPr>
        <w:t xml:space="preserve">(17A) </w:t>
      </w:r>
      <w:r>
        <w:rPr>
          <w:rFonts w:ascii="Times New Roman" w:hAnsi="Times New Roman"/>
          <w:b/>
          <w:i w:val="false"/>
          <w:color w:val="000000"/>
          <w:sz w:val="24"/>
        </w:rPr>
        <w:t xml:space="preserve">Signatures on documents and papers. </w:t>
      </w:r>
      <w:r>
        <w:rPr>
          <w:rFonts w:ascii="Times New Roman" w:hAnsi="Times New Roman"/>
          <w:b w:val="false"/>
          <w:i w:val="false"/>
          <w:color w:val="000000"/>
          <w:sz w:val="24"/>
        </w:rPr>
        <w:t>All documents and papers required by these rules, the Iowa Rules of Civil Procedure as applicable, or a statutory provision shall be signed by the party if unrepresented or the party’s attorney if represented. The party’s signature in addition to the attorney’s signature shall be necessary only when otherwise required by these rules, the Iowa Rules of Civil Procedure as applicable, and any statutory provision. Iowa R. Elec. P. 16.305 concerning signatures is applicable to WCES.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6">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876—2506.42</w:t>
      </w:r>
      <w:r>
        <w:rPr>
          <w:rFonts w:ascii="Times New Roman" w:hAnsi="Times New Roman"/>
          <w:b/>
          <w:i w:val="false"/>
          <w:color w:val="000000"/>
          <w:sz w:val="24"/>
        </w:rPr>
        <w:t xml:space="preserve">(10A,17A) </w:t>
      </w:r>
      <w:r>
        <w:rPr>
          <w:rFonts w:ascii="Times New Roman" w:hAnsi="Times New Roman"/>
          <w:b/>
          <w:i w:val="false"/>
          <w:color w:val="000000"/>
          <w:sz w:val="24"/>
        </w:rPr>
        <w:t xml:space="preserve">Service on parties. </w:t>
      </w:r>
      <w:r>
        <w:rPr>
          <w:rFonts w:ascii="Times New Roman" w:hAnsi="Times New Roman"/>
          <w:b w:val="false"/>
          <w:i w:val="false"/>
          <w:color w:val="000000"/>
          <w:sz w:val="24"/>
        </w:rPr>
        <w:t xml:space="preserve">Any document or paper not delivered under rules </w:t>
      </w:r>
      <w:hyperlink r:id="rId107">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 xml:space="preserve">(10A,17A,85) and </w:t>
      </w:r>
      <w:hyperlink r:id="rId108">
        <w:r>
          <w:rPr>
            <w:rStyle w:val="Hyperlink"/>
            <w:rFonts w:ascii="Times New Roman" w:hAnsi="Times New Roman"/>
            <w:b w:val="false"/>
            <w:i w:val="false"/>
            <w:color w:val="000000"/>
            <w:sz w:val="24"/>
          </w:rPr>
          <w:t>876—2506.37</w:t>
        </w:r>
      </w:hyperlink>
      <w:r>
        <w:rPr>
          <w:rFonts w:ascii="Times New Roman" w:hAnsi="Times New Roman"/>
          <w:b w:val="false"/>
          <w:i w:val="false"/>
          <w:color w:val="000000"/>
          <w:sz w:val="24"/>
        </w:rPr>
        <w:t xml:space="preserve">(17A,85) that is to be filed and seeks relief from or action against another party, or that has any significant effect on any contested case, shall be served on each party of record under rule </w:t>
      </w:r>
      <w:hyperlink r:id="rId109">
        <w:r>
          <w:rPr>
            <w:rStyle w:val="Hyperlink"/>
            <w:rFonts w:ascii="Times New Roman" w:hAnsi="Times New Roman"/>
            <w:b w:val="false"/>
            <w:i w:val="false"/>
            <w:color w:val="000000"/>
            <w:sz w:val="24"/>
          </w:rPr>
          <w:t>876—2506.43</w:t>
        </w:r>
      </w:hyperlink>
      <w:r>
        <w:rPr>
          <w:rFonts w:ascii="Times New Roman" w:hAnsi="Times New Roman"/>
          <w:b w:val="false"/>
          <w:i w:val="false"/>
          <w:color w:val="000000"/>
          <w:sz w:val="24"/>
        </w:rPr>
        <w:t>(10A,17A).</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0">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111">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876—2506.43</w:t>
      </w:r>
      <w:r>
        <w:rPr>
          <w:rFonts w:ascii="Times New Roman" w:hAnsi="Times New Roman"/>
          <w:b/>
          <w:i w:val="false"/>
          <w:color w:val="000000"/>
          <w:sz w:val="24"/>
        </w:rPr>
        <w:t xml:space="preserve">(10A,17A) </w:t>
      </w:r>
      <w:r>
        <w:rPr>
          <w:rFonts w:ascii="Times New Roman" w:hAnsi="Times New Roman"/>
          <w:b/>
          <w:i w:val="false"/>
          <w:color w:val="000000"/>
          <w:sz w:val="24"/>
        </w:rPr>
        <w:t xml:space="preserve">Method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rules </w:t>
      </w:r>
      <w:hyperlink r:id="rId112">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 xml:space="preserve">(10A,17A,85) and </w:t>
      </w:r>
      <w:hyperlink r:id="rId113">
        <w:r>
          <w:rPr>
            <w:rStyle w:val="Hyperlink"/>
            <w:rFonts w:ascii="Times New Roman" w:hAnsi="Times New Roman"/>
            <w:b w:val="false"/>
            <w:i w:val="false"/>
            <w:color w:val="000000"/>
            <w:sz w:val="24"/>
          </w:rPr>
          <w:t>876—2506.37</w:t>
        </w:r>
      </w:hyperlink>
      <w:r>
        <w:rPr>
          <w:rFonts w:ascii="Times New Roman" w:hAnsi="Times New Roman"/>
          <w:b w:val="false"/>
          <w:i w:val="false"/>
          <w:color w:val="000000"/>
          <w:sz w:val="24"/>
        </w:rPr>
        <w:t>(17A,85), service of all documents and papers to be served according to this chapter or otherwise upon a party represented by an attorney shall be made upon the attorney unless service upon the party is ordered by the workers’ compensation commissioner or deputy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2506.43(2)</w:t>
      </w:r>
      <w:r>
        <w:rPr>
          <w:rFonts w:ascii="Times New Roman" w:hAnsi="Times New Roman"/>
          <w:b w:val="false"/>
          <w:i w:val="false"/>
          <w:color w:val="000000"/>
          <w:sz w:val="24"/>
        </w:rPr>
        <w:t> </w:t>
      </w:r>
      <w:r>
        <w:rPr>
          <w:rFonts w:ascii="Times New Roman" w:hAnsi="Times New Roman"/>
          <w:b w:val="false"/>
          <w:i w:val="false"/>
          <w:color w:val="000000"/>
          <w:sz w:val="24"/>
        </w:rPr>
        <w:t>Service upon the attorney or party shall be made using WCES once a party or party’s attorney has registered in WCES for the claim being contested. If a party has been granted a waiver of the mandatory use of WCES or if a party or attorney has not appeared in WCES, service upon the attorney or party shall be made by delivery of a copy or mailing a copy to the last-known address of the attorney or party or, if no address is known, by filing a copy with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2506.43(3)</w:t>
      </w:r>
      <w:r>
        <w:rPr>
          <w:rFonts w:ascii="Times New Roman" w:hAnsi="Times New Roman"/>
          <w:b w:val="false"/>
          <w:i w:val="false"/>
          <w:color w:val="000000"/>
          <w:sz w:val="24"/>
        </w:rPr>
        <w:t> </w:t>
      </w:r>
      <w:r>
        <w:rPr>
          <w:rFonts w:ascii="Times New Roman" w:hAnsi="Times New Roman"/>
          <w:b w:val="false"/>
          <w:i w:val="false"/>
          <w:color w:val="000000"/>
          <w:sz w:val="24"/>
        </w:rPr>
        <w:t>Delivery of a copy within this rule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Handing it to the attorney or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Leaving it at the office of the attorney or party’s office or with the person in charge of the office; if there is no one in charge of the office, leaving it in a conspicuous place in the office; or if the office is closed or the person to be served has no office, leaving it at the person’s dwelling house or usual place of abode with some person of suitable age and discretion who is residing at the dwelling or abode;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2506.43(4)</w:t>
      </w:r>
      <w:r>
        <w:rPr>
          <w:rFonts w:ascii="Times New Roman" w:hAnsi="Times New Roman"/>
          <w:b w:val="false"/>
          <w:i w:val="false"/>
          <w:color w:val="000000"/>
          <w:sz w:val="24"/>
        </w:rPr>
        <w:t> </w:t>
      </w:r>
      <w:r>
        <w:rPr>
          <w:rFonts w:ascii="Times New Roman" w:hAnsi="Times New Roman"/>
          <w:b w:val="false"/>
          <w:i w:val="false"/>
          <w:color w:val="000000"/>
          <w:sz w:val="24"/>
        </w:rPr>
        <w:t>Service by mail under this rule is complete upon mailing.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2506.43(5)</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Documents that are served on a party for discovery and medical evidence under rules </w:t>
      </w:r>
      <w:hyperlink r:id="rId114">
        <w:r>
          <w:rPr>
            <w:rStyle w:val="Hyperlink"/>
            <w:rFonts w:ascii="Times New Roman" w:hAnsi="Times New Roman"/>
            <w:b w:val="false"/>
            <w:i w:val="false"/>
            <w:color w:val="000000"/>
            <w:sz w:val="24"/>
          </w:rPr>
          <w:t>876—2506.44</w:t>
        </w:r>
      </w:hyperlink>
      <w:r>
        <w:rPr>
          <w:rFonts w:ascii="Times New Roman" w:hAnsi="Times New Roman"/>
          <w:b w:val="false"/>
          <w:i w:val="false"/>
          <w:color w:val="000000"/>
          <w:sz w:val="24"/>
        </w:rPr>
        <w:t xml:space="preserve">(10A) and </w:t>
      </w:r>
      <w:hyperlink r:id="rId115">
        <w:r>
          <w:rPr>
            <w:rStyle w:val="Hyperlink"/>
            <w:rFonts w:ascii="Times New Roman" w:hAnsi="Times New Roman"/>
            <w:b w:val="false"/>
            <w:i w:val="false"/>
            <w:color w:val="000000"/>
            <w:sz w:val="24"/>
          </w:rPr>
          <w:t>876—2506.47</w:t>
        </w:r>
      </w:hyperlink>
      <w:r>
        <w:rPr>
          <w:rFonts w:ascii="Times New Roman" w:hAnsi="Times New Roman"/>
          <w:b w:val="false"/>
          <w:i w:val="false"/>
          <w:color w:val="000000"/>
          <w:sz w:val="24"/>
        </w:rPr>
        <w:t>(10A) shall not be filed with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2506.43(6)</w:t>
      </w:r>
      <w:r>
        <w:rPr>
          <w:rFonts w:ascii="Times New Roman" w:hAnsi="Times New Roman"/>
          <w:b w:val="false"/>
          <w:i w:val="false"/>
          <w:color w:val="000000"/>
          <w:sz w:val="24"/>
        </w:rPr>
        <w:t> </w:t>
      </w:r>
      <w:r>
        <w:rPr>
          <w:rFonts w:ascii="Times New Roman" w:hAnsi="Times New Roman"/>
          <w:b w:val="false"/>
          <w:i w:val="false"/>
          <w:color w:val="000000"/>
          <w:sz w:val="24"/>
        </w:rPr>
        <w:t>No documents or papers referred to in this rule shall be served by the commissioner.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6">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117">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876—2506.44</w:t>
      </w:r>
      <w:r>
        <w:rPr>
          <w:rFonts w:ascii="Times New Roman" w:hAnsi="Times New Roman"/>
          <w:b/>
          <w:i w:val="false"/>
          <w:color w:val="000000"/>
          <w:sz w:val="24"/>
        </w:rPr>
        <w:t xml:space="preserve">(10A) </w:t>
      </w:r>
      <w:r>
        <w:rPr>
          <w:rFonts w:ascii="Times New Roman" w:hAnsi="Times New Roman"/>
          <w:b/>
          <w:i w:val="false"/>
          <w:color w:val="000000"/>
          <w:sz w:val="24"/>
        </w:rPr>
        <w:t xml:space="preserve">Filing of documents and papers. </w:t>
      </w:r>
      <w:r>
        <w:rPr>
          <w:rFonts w:ascii="Times New Roman" w:hAnsi="Times New Roman"/>
          <w:b w:val="false"/>
          <w:i w:val="false"/>
          <w:color w:val="000000"/>
          <w:sz w:val="24"/>
        </w:rPr>
        <w:t xml:space="preserve">All documents and papers required to be served on a party under rule </w:t>
      </w:r>
      <w:hyperlink r:id="rId118">
        <w:r>
          <w:rPr>
            <w:rStyle w:val="Hyperlink"/>
            <w:rFonts w:ascii="Times New Roman" w:hAnsi="Times New Roman"/>
            <w:b w:val="false"/>
            <w:i w:val="false"/>
            <w:color w:val="000000"/>
            <w:sz w:val="24"/>
          </w:rPr>
          <w:t>876—2506.42</w:t>
        </w:r>
      </w:hyperlink>
      <w:r>
        <w:rPr>
          <w:rFonts w:ascii="Times New Roman" w:hAnsi="Times New Roman"/>
          <w:b w:val="false"/>
          <w:i w:val="false"/>
          <w:color w:val="000000"/>
          <w:sz w:val="24"/>
        </w:rPr>
        <w:t xml:space="preserve">(10A,17A) shall be filed with the workers’ compensation commissioner either before service or within a reasonable time thereafter. No deposition, notice of deposition, notice of requests for discovery, notice of responses to requests for discovery, or notice of medical records and reports required to be served by rule </w:t>
      </w:r>
      <w:hyperlink r:id="rId119">
        <w:r>
          <w:rPr>
            <w:rStyle w:val="Hyperlink"/>
            <w:rFonts w:ascii="Times New Roman" w:hAnsi="Times New Roman"/>
            <w:b w:val="false"/>
            <w:i w:val="false"/>
            <w:color w:val="000000"/>
            <w:sz w:val="24"/>
          </w:rPr>
          <w:t>876—2506.46</w:t>
        </w:r>
      </w:hyperlink>
      <w:r>
        <w:rPr>
          <w:rFonts w:ascii="Times New Roman" w:hAnsi="Times New Roman"/>
          <w:b w:val="false"/>
          <w:i w:val="false"/>
          <w:color w:val="000000"/>
          <w:sz w:val="24"/>
        </w:rPr>
        <w:t>(10A) shall be filed with or accepted for filing in WCES unless ordered by the commissioner or a deputy workers’ compensation commissioner, or its use becomes otherwise necessary in the action, in which case it shall be attached to the relevant motion or response to the motion requiring its use, or unless offered as evidence at hearing of the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0">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876—2506.45</w:t>
      </w:r>
      <w:r>
        <w:rPr>
          <w:rFonts w:ascii="Times New Roman" w:hAnsi="Times New Roman"/>
          <w:b/>
          <w:i w:val="false"/>
          <w:color w:val="000000"/>
          <w:sz w:val="24"/>
        </w:rPr>
        <w:t xml:space="preserve">(10A) </w:t>
      </w:r>
      <w:r>
        <w:rPr>
          <w:rFonts w:ascii="Times New Roman" w:hAnsi="Times New Roman"/>
          <w:b/>
          <w:i w:val="false"/>
          <w:color w:val="000000"/>
          <w:sz w:val="24"/>
        </w:rPr>
        <w:t xml:space="preserve">Proof of service. </w:t>
      </w:r>
      <w:r>
        <w:rPr>
          <w:rFonts w:ascii="Times New Roman" w:hAnsi="Times New Roman"/>
          <w:b w:val="false"/>
          <w:i w:val="false"/>
          <w:color w:val="000000"/>
          <w:sz w:val="24"/>
        </w:rPr>
        <w:t xml:space="preserve">Proof of service of all documents and papers to be served on another party under rule </w:t>
      </w:r>
      <w:hyperlink r:id="rId121">
        <w:r>
          <w:rPr>
            <w:rStyle w:val="Hyperlink"/>
            <w:rFonts w:ascii="Times New Roman" w:hAnsi="Times New Roman"/>
            <w:b w:val="false"/>
            <w:i w:val="false"/>
            <w:color w:val="000000"/>
            <w:sz w:val="24"/>
          </w:rPr>
          <w:t>876—2506.42</w:t>
        </w:r>
      </w:hyperlink>
      <w:r>
        <w:rPr>
          <w:rFonts w:ascii="Times New Roman" w:hAnsi="Times New Roman"/>
          <w:b w:val="false"/>
          <w:i w:val="false"/>
          <w:color w:val="000000"/>
          <w:sz w:val="24"/>
        </w:rPr>
        <w:t>(10A,17A) shall be filed with the division of workers’ compensation promptly and, in any event, before action is to be taken thereon by the workers’ compensation commissioner or a deputy workers’ compensation commissioner or any party unless a responsive pleading has been filed. Proof shall be made by filing the document in WCES when another party is registered in WCES for that claim. If a party or a party’s attorney or representative is not in WCES for the claim being contested, the proof shall show the date and manner of service and may be by written acknowledgment of service, by certification of a member of the bar of this state, by affidavit of the person who served the papers, or by any other proof satisfactory to the commissioner.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2">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876—2506.46</w:t>
      </w:r>
      <w:r>
        <w:rPr>
          <w:rFonts w:ascii="Times New Roman" w:hAnsi="Times New Roman"/>
          <w:b/>
          <w:i w:val="false"/>
          <w:color w:val="000000"/>
          <w:sz w:val="24"/>
        </w:rPr>
        <w:t xml:space="preserve">(10A) </w:t>
      </w:r>
      <w:r>
        <w:rPr>
          <w:rFonts w:ascii="Times New Roman" w:hAnsi="Times New Roman"/>
          <w:b/>
          <w:i w:val="false"/>
          <w:color w:val="000000"/>
          <w:sz w:val="24"/>
        </w:rPr>
        <w:t xml:space="preserve">Service of records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2506.46(1)</w:t>
      </w:r>
      <w:r>
        <w:rPr>
          <w:rFonts w:ascii="Times New Roman" w:hAnsi="Times New Roman"/>
          <w:b w:val="false"/>
          <w:i w:val="false"/>
          <w:color w:val="000000"/>
          <w:sz w:val="24"/>
        </w:rPr>
        <w:t> </w:t>
      </w:r>
      <w:r>
        <w:rPr>
          <w:rFonts w:ascii="Times New Roman" w:hAnsi="Times New Roman"/>
          <w:b w:val="false"/>
          <w:i w:val="false"/>
          <w:color w:val="000000"/>
          <w:sz w:val="24"/>
        </w:rPr>
        <w:t>Each party to a contested case shall serve all records received pursuant to a patient’s waiver (Form 3—authorization for release of information regarding claimants seeking workers’ compensation benefits) and medical records and reports concerning the injured worker in the possession of the party upon each opposing party not later than 20 days following filing of an answer or, if not then in possession of a party, within 10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Medical records and reports are records of medical practitioners and institutions concerning the injured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Medical practitioners and institutions include physicians, physician associates, surgeons, osteopathic physicians and surgeons, chiropractors, dentists, nurses, podiatrists, psychiatrists, psychologists, counselors, hospitals, clinics, persons engaged in physical or vocational rehabilitation or evaluation for rehabilitation, and all other practitioners of the healing arts or sciences and all other institutions in which the healing arts or sciences are practiced.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party shall serve a notice accompanying the records and reports identifying the records and reports served by the name of the practitioner or institution or other source and date of the records and reports and, if served later than 20 days following filing of the answer, stating the date when the records and reports were received by the party serving them. Pursuant to rule </w:t>
      </w:r>
      <w:hyperlink r:id="rId123">
        <w:r>
          <w:rPr>
            <w:rStyle w:val="Hyperlink"/>
            <w:rFonts w:ascii="Times New Roman" w:hAnsi="Times New Roman"/>
            <w:b w:val="false"/>
            <w:i w:val="false"/>
            <w:color w:val="000000"/>
            <w:sz w:val="24"/>
          </w:rPr>
          <w:t>876—2506.44</w:t>
        </w:r>
      </w:hyperlink>
      <w:r>
        <w:rPr>
          <w:rFonts w:ascii="Times New Roman" w:hAnsi="Times New Roman"/>
          <w:b w:val="false"/>
          <w:i w:val="false"/>
          <w:color w:val="000000"/>
          <w:sz w:val="24"/>
        </w:rPr>
        <w:t>(10A), the notice and records and reports shall not be filed with the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2506.46(3)</w:t>
      </w:r>
      <w:r>
        <w:rPr>
          <w:rFonts w:ascii="Times New Roman" w:hAnsi="Times New Roman"/>
          <w:b w:val="false"/>
          <w:i w:val="false"/>
          <w:color w:val="000000"/>
          <w:sz w:val="24"/>
        </w:rPr>
        <w:t> </w:t>
      </w:r>
      <w:r>
        <w:rPr>
          <w:rFonts w:ascii="Times New Roman" w:hAnsi="Times New Roman"/>
          <w:b w:val="false"/>
          <w:i w:val="false"/>
          <w:color w:val="000000"/>
          <w:sz w:val="24"/>
        </w:rPr>
        <w:t xml:space="preserve">A party failing to comply with the provisions of this rule shall, if the failure is prejudicial to an opposing party, be subject to the provisions of rule </w:t>
      </w:r>
      <w:hyperlink r:id="rId124">
        <w:r>
          <w:rPr>
            <w:rStyle w:val="Hyperlink"/>
            <w:rFonts w:ascii="Times New Roman" w:hAnsi="Times New Roman"/>
            <w:b w:val="false"/>
            <w:i w:val="false"/>
            <w:color w:val="000000"/>
            <w:sz w:val="24"/>
          </w:rPr>
          <w:t>876—2506.62</w:t>
        </w:r>
      </w:hyperlink>
      <w:r>
        <w:rPr>
          <w:rFonts w:ascii="Times New Roman" w:hAnsi="Times New Roman"/>
          <w:b w:val="false"/>
          <w:i w:val="false"/>
          <w:color w:val="000000"/>
          <w:sz w:val="24"/>
        </w:rPr>
        <w:t>(10A). This rule does not require a party to serve any record or report that was previously served by another party in a contested case proceeding. Compliance with this rule does not automatically permit a record or report to be received into evidence if the record or report was not served prior to an applicable deadline established by rule or order for completing discovery or service of exhibits.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5">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126">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876—2506.47</w:t>
      </w:r>
      <w:r>
        <w:rPr>
          <w:rFonts w:ascii="Times New Roman" w:hAnsi="Times New Roman"/>
          <w:b/>
          <w:i w:val="false"/>
          <w:color w:val="000000"/>
          <w:sz w:val="24"/>
        </w:rPr>
        <w:t xml:space="preserve">(10A) </w:t>
      </w:r>
      <w:r>
        <w:rPr>
          <w:rFonts w:ascii="Times New Roman" w:hAnsi="Times New Roman"/>
          <w:b/>
          <w:i w:val="false"/>
          <w:color w:val="000000"/>
          <w:sz w:val="24"/>
        </w:rPr>
        <w:t xml:space="preserve">Medical evidence and discovery. </w:t>
      </w:r>
      <w:r>
        <w:rPr>
          <w:rFonts w:ascii="Times New Roman" w:hAnsi="Times New Roman"/>
          <w:b w:val="false"/>
          <w:i w:val="false"/>
          <w:color w:val="000000"/>
          <w:sz w:val="24"/>
        </w:rPr>
        <w:t xml:space="preserve">Discovery in workers’ compensation proceedings is governed by the Iowa Rules of Civil Procedure pursuant to rule </w:t>
      </w:r>
      <w:hyperlink r:id="rId127">
        <w:r>
          <w:rPr>
            <w:rStyle w:val="Hyperlink"/>
            <w:rFonts w:ascii="Times New Roman" w:hAnsi="Times New Roman"/>
            <w:b w:val="false"/>
            <w:i w:val="false"/>
            <w:color w:val="000000"/>
            <w:sz w:val="24"/>
          </w:rPr>
          <w:t>876—2506.61</w:t>
        </w:r>
      </w:hyperlink>
      <w:r>
        <w:rPr>
          <w:rFonts w:ascii="Times New Roman" w:hAnsi="Times New Roman"/>
          <w:b w:val="false"/>
          <w:i w:val="false"/>
          <w:color w:val="000000"/>
          <w:sz w:val="24"/>
        </w:rPr>
        <w:t>(10A,17A). Any relevant medical record or report served upon a party in compliance with these rules prior to any deadline established by order or rule for service of the records and reports shall be admissible as evidence at hearing of the contested case unless otherwise provided by rule. Any party against which a medical record or report may be used shall have the right, at the party’s own initial expense, to cross-examine by deposition the medical practitioner producing the record or report and the deposition shall be admissible as evidence in the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8">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12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876—2506.48</w:t>
      </w:r>
      <w:r>
        <w:rPr>
          <w:rFonts w:ascii="Times New Roman" w:hAnsi="Times New Roman"/>
          <w:b/>
          <w:i w:val="false"/>
          <w:color w:val="000000"/>
          <w:sz w:val="24"/>
        </w:rPr>
        <w:t xml:space="preserve">(10A) </w:t>
      </w:r>
      <w:r>
        <w:rPr>
          <w:rFonts w:ascii="Times New Roman" w:hAnsi="Times New Roman"/>
          <w:b/>
          <w:i w:val="false"/>
          <w:color w:val="000000"/>
          <w:sz w:val="24"/>
        </w:rPr>
        <w:t xml:space="preserve">Prehearing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2506.48(1)</w:t>
      </w:r>
      <w:r>
        <w:rPr>
          <w:rFonts w:ascii="Times New Roman" w:hAnsi="Times New Roman"/>
          <w:b w:val="false"/>
          <w:i w:val="false"/>
          <w:color w:val="000000"/>
          <w:sz w:val="24"/>
        </w:rPr>
        <w:t> </w:t>
      </w:r>
      <w:r>
        <w:rPr>
          <w:rFonts w:ascii="Times New Roman" w:hAnsi="Times New Roman"/>
          <w:b w:val="false"/>
          <w:i w:val="false"/>
          <w:color w:val="000000"/>
          <w:sz w:val="24"/>
        </w:rPr>
        <w:t>Prehearing procedure in contested cases shall be administered in accordance with these rules and the orders issued by the workers’ compensation commissioner or a deputy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2506.48(2)</w:t>
      </w:r>
      <w:r>
        <w:rPr>
          <w:rFonts w:ascii="Times New Roman" w:hAnsi="Times New Roman"/>
          <w:b w:val="false"/>
          <w:i w:val="false"/>
          <w:color w:val="000000"/>
          <w:sz w:val="24"/>
        </w:rPr>
        <w:t> </w:t>
      </w:r>
      <w:r>
        <w:rPr>
          <w:rFonts w:ascii="Times New Roman" w:hAnsi="Times New Roman"/>
          <w:b w:val="false"/>
          <w:i w:val="false"/>
          <w:color w:val="000000"/>
          <w:sz w:val="24"/>
        </w:rPr>
        <w:t>Counsel of record and pro se litigants have a duty to exercise reasonable diligence to bring the contested case to hearing at the earliest reasonable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2506.48(3)</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time limits govern prehearing procedure, completion of discovery and case management in contested cases, except proceedings under rules </w:t>
      </w:r>
      <w:hyperlink r:id="rId130">
        <w:r>
          <w:rPr>
            <w:rStyle w:val="Hyperlink"/>
            <w:rFonts w:ascii="Times New Roman" w:hAnsi="Times New Roman"/>
            <w:b w:val="false"/>
            <w:i w:val="false"/>
            <w:color w:val="000000"/>
            <w:sz w:val="24"/>
          </w:rPr>
          <w:t>876—2506.64</w:t>
        </w:r>
      </w:hyperlink>
      <w:r>
        <w:rPr>
          <w:rFonts w:ascii="Times New Roman" w:hAnsi="Times New Roman"/>
          <w:b w:val="false"/>
          <w:i w:val="false"/>
          <w:color w:val="000000"/>
          <w:sz w:val="24"/>
        </w:rPr>
        <w:t xml:space="preserve">(10A,17A,85) and </w:t>
      </w:r>
      <w:hyperlink r:id="rId131">
        <w:r>
          <w:rPr>
            <w:rStyle w:val="Hyperlink"/>
            <w:rFonts w:ascii="Times New Roman" w:hAnsi="Times New Roman"/>
            <w:b w:val="false"/>
            <w:i w:val="false"/>
            <w:color w:val="000000"/>
            <w:sz w:val="24"/>
          </w:rPr>
          <w:t>876—2506.65</w:t>
        </w:r>
      </w:hyperlink>
      <w:r>
        <w:rPr>
          <w:rFonts w:ascii="Times New Roman" w:hAnsi="Times New Roman"/>
          <w:b w:val="false"/>
          <w:i w:val="false"/>
          <w:color w:val="000000"/>
          <w:sz w:val="24"/>
        </w:rPr>
        <w:t>(10A,17A,85) and except when otherwise ordered by the commissioner or a deputy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120 days, but not less than 60 days, following the filing of a petition, the counsel of record for all parties and all pro se litigants shall utilize WCES scheduling procedures to request an available hearing time slot consistent with the presiding deputy commissioner’s hearing schedule. The claimant has primary responsibility for initiating the contact. The parties shall identify the case by file number and the names of the parties and request that the hearing be set at a specific date, place and time that is shown to be available on the hearing scheduler published on the division’s website. Primary and backup times must be requested for hearings in venues other than Des Moines. When the contact is made by email, a copy of the request shall be sent to each opposing party and the hearing administrator will reply indicating whether or not the case is assigned at the time requested. If a request is denied, the parties shall continue to contact the hearing administrator by telephone or email until the case is scheduled or a prehearing conference is ordered. A joint scheduling contact may be initiated by any party at any other time agreeable to the parties. If more than 120 days have elapsed since the petition was filed, any party may move to schedule the hearing at a particular date, time and place that is available and the hearing administrator may assign the case for hearing at that date, time and place. The hearing date shall be within 12 months following the date the petition was filed or as soon thereafter as reasonably practicable as determined by the hearing administrator. If the parties fail to schedule the hearing with the hearing administrator, the case will be scheduled at the discretion of the hearing administrator without prior notice to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party who intends to introduce evidence from an expert witness, including a rebuttal expert witness, shall certify to all other parties the expert’s name, subject matter of expertise, and qualifications and a summary of the expert’s opinions within the following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Claimant—120 days before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Employer/second injury fund of Iowa—90 days before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Rebuttal—60 days before hearing.</w:t>
      </w:r>
    </w:p>
    <w:p>
      <w:pPr>
        <w:spacing w:before="0" w:after="0" w:line="480"/>
        <w:ind w:left="120"/>
        <w:jc w:val="both"/>
      </w:pPr>
      <w:r>
        <w:rPr>
          <w:rFonts w:ascii="Times New Roman" w:hAnsi="Times New Roman"/>
          <w:b w:val="false"/>
          <w:i w:val="false"/>
          <w:color w:val="000000"/>
          <w:sz w:val="24"/>
        </w:rPr>
        <w:t xml:space="preserve">Certification is not required to introduce evidence from an examining physician pursuant to Iowa Code section </w:t>
      </w:r>
      <w:hyperlink r:id="rId132">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 a treating physician, or a vocational consultant if the expert witness is known by all parties to have personally provided services to the claimant and the witness’s reports are served on opposing parties prior to the date when certification is required. The parties may alter these times by written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Discovery responses must be supplemented as required in Iowa R. Civ. P. </w:t>
      </w:r>
      <w:r>
        <w:rPr>
          <w:rFonts w:ascii="Times New Roman" w:hAnsi="Times New Roman"/>
          <w:b w:val="false"/>
          <w:i w:val="false"/>
          <w:color w:val="000000"/>
          <w:sz w:val="24"/>
        </w:rPr>
        <w:t>1.503(4)</w:t>
      </w:r>
      <w:r>
        <w:rPr>
          <w:rFonts w:ascii="Times New Roman" w:hAnsi="Times New Roman"/>
          <w:b w:val="false"/>
          <w:i w:val="false"/>
          <w:color w:val="000000"/>
          <w:sz w:val="24"/>
        </w:rPr>
        <w:t xml:space="preserve"> and 1.508(3) and shall be supplemented within 20 days after a party requests supplementation. All discovery responses, depositions, and reports from independent medical examinations shall be completed and served on opposing counsel and pro se litigants at least 30 days before hearing. The parties may alter these times by written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 least 30 days before hearing, counsel of record and pro se litigants shall serve a witness list and exhibit list on all opposing counsel and pro se litigants and exchange all intended exhibits that were not previously required to be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witness list shall name all persons, except the claimant, who will be called to testify at the hearing or who will be deposed prior to the hearing in lieu of testifying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exhibit list must specifically identify each exhibit in a way that permits the opposing party to recognize the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description for a document should include the document’s date, number of pages and author or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Exhibits that were specifically identified when served pursuant to rule </w:t>
      </w:r>
      <w:hyperlink r:id="rId133">
        <w:r>
          <w:rPr>
            <w:rStyle w:val="Hyperlink"/>
            <w:rFonts w:ascii="Times New Roman" w:hAnsi="Times New Roman"/>
            <w:b w:val="false"/>
            <w:i w:val="false"/>
            <w:color w:val="000000"/>
            <w:sz w:val="24"/>
          </w:rPr>
          <w:t>876—2506.46</w:t>
        </w:r>
      </w:hyperlink>
      <w:r>
        <w:rPr>
          <w:rFonts w:ascii="Times New Roman" w:hAnsi="Times New Roman"/>
          <w:b w:val="false"/>
          <w:i w:val="false"/>
          <w:color w:val="000000"/>
          <w:sz w:val="24"/>
        </w:rPr>
        <w:t xml:space="preserve">(10A) or in a discovery response may be collectively identified by describing the service (e.g., “exhibits described in the notices served pursuant to rule </w:t>
      </w:r>
      <w:hyperlink r:id="rId134">
        <w:r>
          <w:rPr>
            <w:rStyle w:val="Hyperlink"/>
            <w:rFonts w:ascii="Times New Roman" w:hAnsi="Times New Roman"/>
            <w:b w:val="false"/>
            <w:i w:val="false"/>
            <w:color w:val="000000"/>
            <w:sz w:val="24"/>
          </w:rPr>
          <w:t>876—2506.46</w:t>
        </w:r>
      </w:hyperlink>
      <w:r>
        <w:rPr>
          <w:rFonts w:ascii="Times New Roman" w:hAnsi="Times New Roman"/>
          <w:b w:val="false"/>
          <w:i w:val="false"/>
          <w:color w:val="000000"/>
          <w:sz w:val="24"/>
        </w:rPr>
        <w:t>(10A) on May 7, June 11 and July 9, 2004”). Blanket references, such as “all medical records,” “personnel file” or “records produced during discovery,” do not specifically identify an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party may serve a copy of the actual intended exhibits in lieu of an exhibit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Evidentiary depositions pursuant to Iowa Code section </w:t>
      </w:r>
      <w:hyperlink r:id="rId135">
        <w:r>
          <w:rPr>
            <w:rStyle w:val="Hyperlink"/>
            <w:rFonts w:ascii="Times New Roman" w:hAnsi="Times New Roman"/>
            <w:b w:val="false"/>
            <w:i w:val="false"/>
            <w:color w:val="000000"/>
            <w:sz w:val="24"/>
          </w:rPr>
          <w:t>10A.319(2)</w:t>
        </w:r>
      </w:hyperlink>
      <w:r>
        <w:rPr>
          <w:rFonts w:ascii="Times New Roman" w:hAnsi="Times New Roman"/>
          <w:b w:val="false"/>
          <w:i w:val="false"/>
          <w:color w:val="000000"/>
          <w:sz w:val="24"/>
        </w:rPr>
        <w:t xml:space="preserve"> may be taken at any time before the hearing in lieu of the witness testifying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At least 14 days before the hearing, the parties shall file proposed hearing exhibits.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proposed joint exhibits shall not exceed 100 pages. The proposed claimant’s exhibits shall not exceed 50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proposed defendants’ exhibits shall not exceed 50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commissioner or a deputy commissioner may, upon a showing of good cause, allow proposed hearing exhibits in excess of the page limits mentioned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2506.48(4)</w:t>
      </w:r>
      <w:r>
        <w:rPr>
          <w:rFonts w:ascii="Times New Roman" w:hAnsi="Times New Roman"/>
          <w:b w:val="false"/>
          <w:i w:val="false"/>
          <w:color w:val="000000"/>
          <w:sz w:val="24"/>
        </w:rPr>
        <w:t> </w:t>
      </w:r>
      <w:r>
        <w:rPr>
          <w:rFonts w:ascii="Times New Roman" w:hAnsi="Times New Roman"/>
          <w:b w:val="false"/>
          <w:i w:val="false"/>
          <w:color w:val="000000"/>
          <w:sz w:val="24"/>
        </w:rPr>
        <w:t xml:space="preserve">If evidence is offered at hearing that was not disclosed in the time and manner required by these rules, as altered by order of the commissioner or a deputy commissioner or by a written agreement by the parties, the evidence will be excluded unless the offering party demonstrates good cause for failure to comply with the rules or order. Sanctions may be imposed pursuant to rule </w:t>
      </w:r>
      <w:hyperlink r:id="rId136">
        <w:r>
          <w:rPr>
            <w:rStyle w:val="Hyperlink"/>
            <w:rFonts w:ascii="Times New Roman" w:hAnsi="Times New Roman"/>
            <w:b w:val="false"/>
            <w:i w:val="false"/>
            <w:color w:val="000000"/>
            <w:sz w:val="24"/>
          </w:rPr>
          <w:t>876—2506.62</w:t>
        </w:r>
      </w:hyperlink>
      <w:r>
        <w:rPr>
          <w:rFonts w:ascii="Times New Roman" w:hAnsi="Times New Roman"/>
          <w:b w:val="false"/>
          <w:i w:val="false"/>
          <w:color w:val="000000"/>
          <w:sz w:val="24"/>
        </w:rPr>
        <w:t>(10A) in addition to or in lieu of exclusion if exclusion is not an effective remedy for the prejudice.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2506.48(5)</w:t>
      </w:r>
      <w:r>
        <w:rPr>
          <w:rFonts w:ascii="Times New Roman" w:hAnsi="Times New Roman"/>
          <w:b w:val="false"/>
          <w:i w:val="false"/>
          <w:color w:val="000000"/>
          <w:sz w:val="24"/>
        </w:rPr>
        <w:t> </w:t>
      </w:r>
      <w:r>
        <w:rPr>
          <w:rFonts w:ascii="Times New Roman" w:hAnsi="Times New Roman"/>
          <w:b w:val="false"/>
          <w:i w:val="false"/>
          <w:color w:val="000000"/>
          <w:sz w:val="24"/>
        </w:rPr>
        <w:t>Counsel and pro se litigants shall prepare a hearing report that defines the claims, defenses, and issues that are to be submitted to the deputy commissioner who presides at the hearing. The hearing report shall be signed by all counsel of record and pro se litigants and submitted to the deputy commissioner when the hearing commences.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2506.48(6)</w:t>
      </w:r>
      <w:r>
        <w:rPr>
          <w:rFonts w:ascii="Times New Roman" w:hAnsi="Times New Roman"/>
          <w:b w:val="false"/>
          <w:i w:val="false"/>
          <w:color w:val="000000"/>
          <w:sz w:val="24"/>
        </w:rPr>
        <w:t> </w:t>
      </w:r>
      <w:r>
        <w:rPr>
          <w:rFonts w:ascii="Times New Roman" w:hAnsi="Times New Roman"/>
          <w:b w:val="false"/>
          <w:i w:val="false"/>
          <w:color w:val="000000"/>
          <w:sz w:val="24"/>
        </w:rPr>
        <w:t>Jurisdictional deadlines, including but not limited to any applicable statute of limitations, cannot be extended. It is each party’s responsibility to ensure that a document is filed timely to comply with jurisdictional deadlines. A technical failure, including a failure of WCES, will not excuse a failure to comply with a jurisdictional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2506.48(7)</w:t>
      </w:r>
      <w:r>
        <w:rPr>
          <w:rFonts w:ascii="Times New Roman" w:hAnsi="Times New Roman"/>
          <w:b w:val="false"/>
          <w:i w:val="false"/>
          <w:color w:val="000000"/>
          <w:sz w:val="24"/>
        </w:rPr>
        <w:t> </w:t>
      </w:r>
      <w:r>
        <w:rPr>
          <w:rFonts w:ascii="Times New Roman" w:hAnsi="Times New Roman"/>
          <w:b w:val="false"/>
          <w:i w:val="false"/>
          <w:color w:val="000000"/>
          <w:sz w:val="24"/>
        </w:rPr>
        <w:t>A party is not excused from missing a jurisdictional or nonjurisdictional filing deadline because of problems attributable to the party.</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37">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876—2506.49</w:t>
      </w:r>
      <w:r>
        <w:rPr>
          <w:rFonts w:ascii="Times New Roman" w:hAnsi="Times New Roman"/>
          <w:b/>
          <w:i w:val="false"/>
          <w:color w:val="000000"/>
          <w:sz w:val="24"/>
        </w:rPr>
        <w:t xml:space="preserve">(10A) </w:t>
      </w:r>
      <w:r>
        <w:rPr>
          <w:rFonts w:ascii="Times New Roman" w:hAnsi="Times New Roman"/>
          <w:b/>
          <w:i w:val="false"/>
          <w:color w:val="000000"/>
          <w:sz w:val="24"/>
        </w:rPr>
        <w:t xml:space="preserve">Prehearing conference. </w:t>
      </w:r>
      <w:r>
        <w:rPr>
          <w:rFonts w:ascii="Times New Roman" w:hAnsi="Times New Roman"/>
          <w:b w:val="false"/>
          <w:i w:val="false"/>
          <w:color w:val="000000"/>
          <w:sz w:val="24"/>
        </w:rPr>
        <w:t>A deputy workers’ compensation commissioner or the workers’ compensation commissioner may order parties in the case to either appear before the commissioner or a deputy commissioner for a conference, or communicate with the commissioner or a deputy commissioner and with each other in any manner as may be prescribed to consider, so far as applicable to the particular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w:t>
      </w:r>
      <w:r>
        <w:rPr>
          <w:rFonts w:ascii="Times New Roman" w:hAnsi="Times New Roman"/>
          <w:b w:val="false"/>
          <w:i w:val="false"/>
          <w:color w:val="000000"/>
          <w:sz w:val="24"/>
        </w:rPr>
        <w:t> </w:t>
      </w:r>
      <w:r>
        <w:rPr>
          <w:rFonts w:ascii="Times New Roman" w:hAnsi="Times New Roman"/>
          <w:b w:val="false"/>
          <w:i w:val="false"/>
          <w:color w:val="000000"/>
          <w:sz w:val="24"/>
        </w:rPr>
        <w:t>The necessity or desirability of amending pleadings by formal amendment or prehearing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2506.49(2)</w:t>
      </w:r>
      <w:r>
        <w:rPr>
          <w:rFonts w:ascii="Times New Roman" w:hAnsi="Times New Roman"/>
          <w:b w:val="false"/>
          <w:i w:val="false"/>
          <w:color w:val="000000"/>
          <w:sz w:val="24"/>
        </w:rPr>
        <w:t> </w:t>
      </w:r>
      <w:r>
        <w:rPr>
          <w:rFonts w:ascii="Times New Roman" w:hAnsi="Times New Roman"/>
          <w:b w:val="false"/>
          <w:i w:val="false"/>
          <w:color w:val="000000"/>
          <w:sz w:val="24"/>
        </w:rPr>
        <w:t>Agreeing to admissions of facts, documents or records not really controverted, to avoid unnecessary proof;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2506.49(3)</w:t>
      </w:r>
      <w:r>
        <w:rPr>
          <w:rFonts w:ascii="Times New Roman" w:hAnsi="Times New Roman"/>
          <w:b w:val="false"/>
          <w:i w:val="false"/>
          <w:color w:val="000000"/>
          <w:sz w:val="24"/>
        </w:rPr>
        <w:t> </w:t>
      </w:r>
      <w:r>
        <w:rPr>
          <w:rFonts w:ascii="Times New Roman" w:hAnsi="Times New Roman"/>
          <w:b w:val="false"/>
          <w:i w:val="false"/>
          <w:color w:val="000000"/>
          <w:sz w:val="24"/>
        </w:rPr>
        <w:t>Limiting the number of witnesses;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2506.49(4)</w:t>
      </w:r>
      <w:r>
        <w:rPr>
          <w:rFonts w:ascii="Times New Roman" w:hAnsi="Times New Roman"/>
          <w:b w:val="false"/>
          <w:i w:val="false"/>
          <w:color w:val="000000"/>
          <w:sz w:val="24"/>
        </w:rPr>
        <w:t> </w:t>
      </w:r>
      <w:r>
        <w:rPr>
          <w:rFonts w:ascii="Times New Roman" w:hAnsi="Times New Roman"/>
          <w:b w:val="false"/>
          <w:i w:val="false"/>
          <w:color w:val="000000"/>
          <w:sz w:val="24"/>
        </w:rPr>
        <w:t>Settling any facts of which the commissioner or a deputy commissioner is to be asked to take official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2506.49(5)</w:t>
      </w:r>
      <w:r>
        <w:rPr>
          <w:rFonts w:ascii="Times New Roman" w:hAnsi="Times New Roman"/>
          <w:b w:val="false"/>
          <w:i w:val="false"/>
          <w:color w:val="000000"/>
          <w:sz w:val="24"/>
        </w:rPr>
        <w:t> </w:t>
      </w:r>
      <w:r>
        <w:rPr>
          <w:rFonts w:ascii="Times New Roman" w:hAnsi="Times New Roman"/>
          <w:b w:val="false"/>
          <w:i w:val="false"/>
          <w:color w:val="000000"/>
          <w:sz w:val="24"/>
        </w:rPr>
        <w:t>Stating and simplifying the factual and legal issues to be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2506.49(6)</w:t>
      </w:r>
      <w:r>
        <w:rPr>
          <w:rFonts w:ascii="Times New Roman" w:hAnsi="Times New Roman"/>
          <w:b w:val="false"/>
          <w:i w:val="false"/>
          <w:color w:val="000000"/>
          <w:sz w:val="24"/>
        </w:rPr>
        <w:t> </w:t>
      </w:r>
      <w:r>
        <w:rPr>
          <w:rFonts w:ascii="Times New Roman" w:hAnsi="Times New Roman"/>
          <w:b w:val="false"/>
          <w:i w:val="false"/>
          <w:color w:val="000000"/>
          <w:sz w:val="24"/>
        </w:rPr>
        <w:t>Specifying the items and amounts of compensation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2506.49(7)</w:t>
      </w:r>
      <w:r>
        <w:rPr>
          <w:rFonts w:ascii="Times New Roman" w:hAnsi="Times New Roman"/>
          <w:b w:val="false"/>
          <w:i w:val="false"/>
          <w:color w:val="000000"/>
          <w:sz w:val="24"/>
        </w:rPr>
        <w:t> </w:t>
      </w:r>
      <w:r>
        <w:rPr>
          <w:rFonts w:ascii="Times New Roman" w:hAnsi="Times New Roman"/>
          <w:b w:val="false"/>
          <w:i w:val="false"/>
          <w:color w:val="000000"/>
          <w:sz w:val="24"/>
        </w:rPr>
        <w:t>Specifying all proposed exhibits and proof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2506.49(8)</w:t>
      </w:r>
      <w:r>
        <w:rPr>
          <w:rFonts w:ascii="Times New Roman" w:hAnsi="Times New Roman"/>
          <w:b w:val="false"/>
          <w:i w:val="false"/>
          <w:color w:val="000000"/>
          <w:sz w:val="24"/>
        </w:rPr>
        <w:t> </w:t>
      </w:r>
      <w:r>
        <w:rPr>
          <w:rFonts w:ascii="Times New Roman" w:hAnsi="Times New Roman"/>
          <w:b w:val="false"/>
          <w:i w:val="false"/>
          <w:color w:val="000000"/>
          <w:sz w:val="24"/>
        </w:rPr>
        <w:t>Consolidation of cases and bifurcation of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2506.49(9)</w:t>
      </w:r>
      <w:r>
        <w:rPr>
          <w:rFonts w:ascii="Times New Roman" w:hAnsi="Times New Roman"/>
          <w:b w:val="false"/>
          <w:i w:val="false"/>
          <w:color w:val="000000"/>
          <w:sz w:val="24"/>
        </w:rPr>
        <w:t> </w:t>
      </w:r>
      <w:r>
        <w:rPr>
          <w:rFonts w:ascii="Times New Roman" w:hAnsi="Times New Roman"/>
          <w:b w:val="false"/>
          <w:i w:val="false"/>
          <w:color w:val="000000"/>
          <w:sz w:val="24"/>
        </w:rPr>
        <w:t>Specifying all witnesses expected to testify;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2506.49(10)</w:t>
      </w:r>
      <w:r>
        <w:rPr>
          <w:rFonts w:ascii="Times New Roman" w:hAnsi="Times New Roman"/>
          <w:b w:val="false"/>
          <w:i w:val="false"/>
          <w:color w:val="000000"/>
          <w:sz w:val="24"/>
        </w:rPr>
        <w:t> </w:t>
      </w:r>
      <w:r>
        <w:rPr>
          <w:rFonts w:ascii="Times New Roman" w:hAnsi="Times New Roman"/>
          <w:b w:val="false"/>
          <w:i w:val="false"/>
          <w:color w:val="000000"/>
          <w:sz w:val="24"/>
        </w:rPr>
        <w:t>Possibility of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2506.49(11)</w:t>
      </w:r>
      <w:r>
        <w:rPr>
          <w:rFonts w:ascii="Times New Roman" w:hAnsi="Times New Roman"/>
          <w:b w:val="false"/>
          <w:i w:val="false"/>
          <w:color w:val="000000"/>
          <w:sz w:val="24"/>
        </w:rPr>
        <w:t> </w:t>
      </w:r>
      <w:r>
        <w:rPr>
          <w:rFonts w:ascii="Times New Roman" w:hAnsi="Times New Roman"/>
          <w:b w:val="false"/>
          <w:i w:val="false"/>
          <w:color w:val="000000"/>
          <w:sz w:val="24"/>
        </w:rPr>
        <w:t>Filing of advance briefs,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2506.49(12)</w:t>
      </w:r>
      <w:r>
        <w:rPr>
          <w:rFonts w:ascii="Times New Roman" w:hAnsi="Times New Roman"/>
          <w:b w:val="false"/>
          <w:i w:val="false"/>
          <w:color w:val="000000"/>
          <w:sz w:val="24"/>
        </w:rPr>
        <w:t> </w:t>
      </w:r>
      <w:r>
        <w:rPr>
          <w:rFonts w:ascii="Times New Roman" w:hAnsi="Times New Roman"/>
          <w:b w:val="false"/>
          <w:i w:val="false"/>
          <w:color w:val="000000"/>
          <w:sz w:val="24"/>
        </w:rPr>
        <w:t>Setting or altering dates for completion of discovery or completion of medical evidence by each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2506.49(13)</w:t>
      </w:r>
      <w:r>
        <w:rPr>
          <w:rFonts w:ascii="Times New Roman" w:hAnsi="Times New Roman"/>
          <w:b w:val="false"/>
          <w:i w:val="false"/>
          <w:color w:val="000000"/>
          <w:sz w:val="24"/>
        </w:rPr>
        <w:t> </w:t>
      </w:r>
      <w:r>
        <w:rPr>
          <w:rFonts w:ascii="Times New Roman" w:hAnsi="Times New Roman"/>
          <w:b w:val="false"/>
          <w:i w:val="false"/>
          <w:color w:val="000000"/>
          <w:sz w:val="24"/>
        </w:rPr>
        <w:t>Any other matter which may facilitate, expedite, or simplify any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8">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and </w:t>
      </w:r>
      <w:hyperlink r:id="rId13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876—2506.50</w:t>
      </w:r>
      <w:r>
        <w:rPr>
          <w:rFonts w:ascii="Times New Roman" w:hAnsi="Times New Roman"/>
          <w:b/>
          <w:i w:val="false"/>
          <w:color w:val="000000"/>
          <w:sz w:val="24"/>
        </w:rPr>
        <w:t xml:space="preserve">(10A) </w:t>
      </w:r>
      <w:r>
        <w:rPr>
          <w:rFonts w:ascii="Times New Roman" w:hAnsi="Times New Roman"/>
          <w:b/>
          <w:i w:val="false"/>
          <w:color w:val="000000"/>
          <w:sz w:val="24"/>
        </w:rPr>
        <w:t xml:space="preserve">Prehearing conference record. </w:t>
      </w:r>
      <w:r>
        <w:rPr>
          <w:rFonts w:ascii="Times New Roman" w:hAnsi="Times New Roman"/>
          <w:b w:val="false"/>
          <w:i w:val="false"/>
          <w:color w:val="000000"/>
          <w:sz w:val="24"/>
        </w:rPr>
        <w:t>At the request of any attorney in the case, or at the discretion of a deputy workers’ compensation commissioner or the workers’ compensation commissioner, the entire prehearing conference or any designated part thereof shall be recorded and the cost of the reporter shall be assessed to the requesting party or, if directed by the commissioner or deputy commissioner, assessed as costs.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0">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and </w:t>
      </w:r>
      <w:hyperlink r:id="rId141">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876—2506.51</w:t>
      </w:r>
      <w:r>
        <w:rPr>
          <w:rFonts w:ascii="Times New Roman" w:hAnsi="Times New Roman"/>
          <w:b/>
          <w:i w:val="false"/>
          <w:color w:val="000000"/>
          <w:sz w:val="24"/>
        </w:rPr>
        <w:t xml:space="preserve">(10A) </w:t>
      </w:r>
      <w:r>
        <w:rPr>
          <w:rFonts w:ascii="Times New Roman" w:hAnsi="Times New Roman"/>
          <w:b/>
          <w:i w:val="false"/>
          <w:color w:val="000000"/>
          <w:sz w:val="24"/>
        </w:rPr>
        <w:t xml:space="preserve">Assignment for hearing. </w:t>
      </w:r>
      <w:r>
        <w:rPr>
          <w:rFonts w:ascii="Times New Roman" w:hAnsi="Times New Roman"/>
          <w:b w:val="false"/>
          <w:i w:val="false"/>
          <w:color w:val="000000"/>
          <w:sz w:val="24"/>
        </w:rPr>
        <w:t>Contested cases shall be set for hearing within the discretion of the workers’ compensation commissioner as soon as practicable after the parties have had adequate opportunity to prepare for hearing. A party may request in writing that no hearing in a contested case be held until such time as specified matters have been accomplished or specified events have occurred. Continuances of hearings in contested cases shall be granted only by the commissioner or the commissioner’s designee. Continuances are governed by Iowa R. Civ. P. 1.910 through 1.912. Requests for continuance shall also state in detail the reasons for the request and whether the opposing party accedes to the request. Defendants shall promptly notify the commissioner of settlements.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2">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143">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876—2506.52</w:t>
      </w:r>
      <w:r>
        <w:rPr>
          <w:rFonts w:ascii="Times New Roman" w:hAnsi="Times New Roman"/>
          <w:b/>
          <w:i w:val="false"/>
          <w:color w:val="000000"/>
          <w:sz w:val="24"/>
        </w:rPr>
        <w:t xml:space="preserve">(10A,17A,85,85A,85B) </w:t>
      </w:r>
      <w:r>
        <w:rPr>
          <w:rFonts w:ascii="Times New Roman" w:hAnsi="Times New Roman"/>
          <w:b/>
          <w:i w:val="false"/>
          <w:color w:val="000000"/>
          <w:sz w:val="24"/>
        </w:rPr>
        <w:t xml:space="preserve">Rehearing. </w:t>
      </w:r>
      <w:r>
        <w:rPr>
          <w:rFonts w:ascii="Times New Roman" w:hAnsi="Times New Roman"/>
          <w:b w:val="false"/>
          <w:i w:val="false"/>
          <w:color w:val="000000"/>
          <w:sz w:val="24"/>
        </w:rPr>
        <w:t>Any party may file an application for rehearing of a proposed decision in any contested case by a deputy workers’ compensation commissioner or a decision in any contested case by the workers’ compensation commissioner within 20 days after the issuance of the decision. If a party has been allowed to file not using WCES or a party to the claim is not in WCES, a copy of such application shall be timely mailed by the applicant to all parties of record not joining therein. An application for rehearing shall be deemed denied unless the deputy commissioner or commissioner rendering the decision grants the application within 20 days after its filing. For purposes of this rule, motions or requests for reconsideration or new trial or retrial or any reexamination of any decision, ruling, or order shall be treated the same as an application for rehearing.</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44">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4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146">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147">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876—2506.53</w:t>
      </w:r>
      <w:r>
        <w:rPr>
          <w:rFonts w:ascii="Times New Roman" w:hAnsi="Times New Roman"/>
          <w:b/>
          <w:i w:val="false"/>
          <w:color w:val="000000"/>
          <w:sz w:val="24"/>
        </w:rPr>
        <w:t xml:space="preserve">(10A,17A) </w:t>
      </w:r>
      <w:r>
        <w:rPr>
          <w:rFonts w:ascii="Times New Roman" w:hAnsi="Times New Roman"/>
          <w:b/>
          <w:i w:val="false"/>
          <w:color w:val="000000"/>
          <w:sz w:val="24"/>
        </w:rPr>
        <w:t xml:space="preserve">Appeal when rehearing requested. </w:t>
      </w:r>
      <w:r>
        <w:rPr>
          <w:rFonts w:ascii="Times New Roman" w:hAnsi="Times New Roman"/>
          <w:b w:val="false"/>
          <w:i w:val="false"/>
          <w:color w:val="000000"/>
          <w:sz w:val="24"/>
        </w:rPr>
        <w:t xml:space="preserve">An appeal to or a review on a motion of the workers’ compensation commissioner must be filed within 20 days after the application for rehearing of a proposed decision by a deputy workers’ compensation commissioner under rule </w:t>
      </w:r>
      <w:hyperlink r:id="rId148">
        <w:r>
          <w:rPr>
            <w:rStyle w:val="Hyperlink"/>
            <w:rFonts w:ascii="Times New Roman" w:hAnsi="Times New Roman"/>
            <w:b w:val="false"/>
            <w:i w:val="false"/>
            <w:color w:val="000000"/>
            <w:sz w:val="24"/>
          </w:rPr>
          <w:t>876—2506.52</w:t>
        </w:r>
      </w:hyperlink>
      <w:r>
        <w:rPr>
          <w:rFonts w:ascii="Times New Roman" w:hAnsi="Times New Roman"/>
          <w:b w:val="false"/>
          <w:i w:val="false"/>
          <w:color w:val="000000"/>
          <w:sz w:val="24"/>
        </w:rPr>
        <w:t>(10A,17A,85,85A,85B) has been denied or deemed denied or a decision on rehearing has been issued. If a notice of appeal is filed by one party and an application for rehearing is filed by a different party, the deputy retains jurisdiction to act on the application for rehearing, and the notice of appeal is stayed and deemed to have been filed on the day after the application for rehearing is denied or deemed denied or the decision on rehearing is issued.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9">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w:t>
      </w:r>
      <w:hyperlink r:id="rId150">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 xml:space="preserve">, and </w:t>
      </w:r>
      <w:hyperlink r:id="rId151">
        <w:r>
          <w:rPr>
            <w:rStyle w:val="Hyperlink"/>
            <w:rFonts w:ascii="Times New Roman" w:hAnsi="Times New Roman"/>
            <w:b w:val="false"/>
            <w:i w:val="false"/>
            <w:color w:val="000000"/>
            <w:sz w:val="24"/>
          </w:rPr>
          <w:t>17A.16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876—2506.54</w:t>
      </w:r>
      <w:r>
        <w:rPr>
          <w:rFonts w:ascii="Times New Roman" w:hAnsi="Times New Roman"/>
          <w:b/>
          <w:i w:val="false"/>
          <w:color w:val="000000"/>
          <w:sz w:val="24"/>
        </w:rPr>
        <w:t xml:space="preserve">(10A,17A) </w:t>
      </w:r>
      <w:r>
        <w:rPr>
          <w:rFonts w:ascii="Times New Roman" w:hAnsi="Times New Roman"/>
          <w:b/>
          <w:i w:val="false"/>
          <w:color w:val="000000"/>
          <w:sz w:val="24"/>
        </w:rPr>
        <w:t xml:space="preserve">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2506.54(1)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rules </w:t>
      </w:r>
      <w:hyperlink r:id="rId152">
        <w:r>
          <w:rPr>
            <w:rStyle w:val="Hyperlink"/>
            <w:rFonts w:ascii="Times New Roman" w:hAnsi="Times New Roman"/>
            <w:b w:val="false"/>
            <w:i w:val="false"/>
            <w:color w:val="000000"/>
            <w:sz w:val="24"/>
          </w:rPr>
          <w:t>876—2506.33</w:t>
        </w:r>
      </w:hyperlink>
      <w:r>
        <w:rPr>
          <w:rFonts w:ascii="Times New Roman" w:hAnsi="Times New Roman"/>
          <w:b w:val="false"/>
          <w:i w:val="false"/>
          <w:color w:val="000000"/>
          <w:sz w:val="24"/>
        </w:rPr>
        <w:t xml:space="preserve">(10A) and </w:t>
      </w:r>
      <w:hyperlink r:id="rId153">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 xml:space="preserve">(10A,17A), an appeal to the workers’ compensation commissioner from a decision, order or ruling of a deputy workers’ compensation commissioner in contested case proceedings shall be commenced within 20 days of the filing of the decision, order or ruling by filing a notice of appeal with the workers’ compensation commissioner. If two or more contested cases were consolidated for hearing, the notice of appeal shall specify which of the contested cases are being appealed. The date the notice of appeal is filed shall be the date the notice of appeal is received by the agency. The notice shall be served on the opposing parties as provided in rule </w:t>
      </w:r>
      <w:hyperlink r:id="rId154">
        <w:r>
          <w:rPr>
            <w:rStyle w:val="Hyperlink"/>
            <w:rFonts w:ascii="Times New Roman" w:hAnsi="Times New Roman"/>
            <w:b w:val="false"/>
            <w:i w:val="false"/>
            <w:color w:val="000000"/>
            <w:sz w:val="24"/>
          </w:rPr>
          <w:t>876—2506.43</w:t>
        </w:r>
      </w:hyperlink>
      <w:r>
        <w:rPr>
          <w:rFonts w:ascii="Times New Roman" w:hAnsi="Times New Roman"/>
          <w:b w:val="false"/>
          <w:i w:val="false"/>
          <w:color w:val="000000"/>
          <w:sz w:val="24"/>
        </w:rPr>
        <w:t>(10A,17A). An appeal shall be heard in Polk County or in any location designated by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2506.54(2)</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interlocutory decision, order or ruling can be appealed only as hereinafter provided. A decision, order or ruling is interlocutory if, when issued, it does not dispose of all issues in the contested case that are ripe for adjudication. If the sole issue remaining for determination is claimant’s entitlement to additional compensation for unreasonable denial or delay of payment pursuant to Iowa Code section </w:t>
      </w:r>
      <w:hyperlink r:id="rId155">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the decision is not interlocutory. An adjudication that awards ongoing payments of weekly compensation under Iowa Code section </w:t>
      </w:r>
      <w:hyperlink r:id="rId156">
        <w:r>
          <w:rPr>
            <w:rStyle w:val="Hyperlink"/>
            <w:rFonts w:ascii="Times New Roman" w:hAnsi="Times New Roman"/>
            <w:b w:val="false"/>
            <w:i w:val="false"/>
            <w:color w:val="000000"/>
            <w:sz w:val="24"/>
          </w:rPr>
          <w:t>85.33</w:t>
        </w:r>
      </w:hyperlink>
      <w:r>
        <w:rPr>
          <w:rFonts w:ascii="Times New Roman" w:hAnsi="Times New Roman"/>
          <w:b w:val="false"/>
          <w:i w:val="false"/>
          <w:color w:val="000000"/>
          <w:sz w:val="24"/>
        </w:rPr>
        <w:t xml:space="preserve"> or </w:t>
      </w:r>
      <w:hyperlink r:id="rId157">
        <w:r>
          <w:rPr>
            <w:rStyle w:val="Hyperlink"/>
            <w:rFonts w:ascii="Times New Roman" w:hAnsi="Times New Roman"/>
            <w:b w:val="false"/>
            <w:i w:val="false"/>
            <w:color w:val="000000"/>
            <w:sz w:val="24"/>
          </w:rPr>
          <w:t>85.34(1)</w:t>
        </w:r>
      </w:hyperlink>
      <w:r>
        <w:rPr>
          <w:rFonts w:ascii="Times New Roman" w:hAnsi="Times New Roman"/>
          <w:b w:val="false"/>
          <w:i w:val="false"/>
          <w:color w:val="000000"/>
          <w:sz w:val="24"/>
        </w:rPr>
        <w:t xml:space="preserve"> is not interlocutory. The commissioner may, upon application from any party or on the commissioner’s own motion, and upon such terms as the commissioner orders, grant an appeal from an interlocutory decision, order or ruling if the commissioner finds that the ruling affects substantial rights, that the ruling will materially affect the final decision and that determination of the correctness of the ruling will better serve the interests of justice.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2506.54(3)</w:t>
      </w:r>
      <w:r>
        <w:rPr>
          <w:rFonts w:ascii="Times New Roman" w:hAnsi="Times New Roman"/>
          <w:b w:val="false"/>
          <w:i w:val="false"/>
          <w:color w:val="000000"/>
          <w:sz w:val="24"/>
        </w:rPr>
        <w:t> </w:t>
      </w:r>
      <w:r>
        <w:rPr>
          <w:rFonts w:ascii="Times New Roman" w:hAnsi="Times New Roman"/>
          <w:b w:val="false"/>
          <w:i w:val="false"/>
          <w:color w:val="000000"/>
          <w:sz w:val="24"/>
        </w:rPr>
        <w:t xml:space="preserve">A cross-appeal may be taken under this rule or rule </w:t>
      </w:r>
      <w:hyperlink r:id="rId158">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(10A,17A) in the same manner as an appeal within the 20 days for the taking of an appeal or within 10 days after filing of the appeal, whichever is later.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9">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and </w:t>
      </w:r>
      <w:hyperlink r:id="rId160">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876—2506.55</w:t>
      </w:r>
      <w:r>
        <w:rPr>
          <w:rFonts w:ascii="Times New Roman" w:hAnsi="Times New Roman"/>
          <w:b/>
          <w:i w:val="false"/>
          <w:color w:val="000000"/>
          <w:sz w:val="24"/>
        </w:rPr>
        <w:t xml:space="preserve">(10A) </w:t>
      </w:r>
      <w:r>
        <w:rPr>
          <w:rFonts w:ascii="Times New Roman" w:hAnsi="Times New Roman"/>
          <w:b/>
          <w:i w:val="false"/>
          <w:color w:val="000000"/>
          <w:sz w:val="24"/>
        </w:rPr>
        <w:t xml:space="preserve">Briefing requirements on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2506.55(1)</w:t>
      </w:r>
      <w:r>
        <w:rPr>
          <w:rFonts w:ascii="Times New Roman" w:hAnsi="Times New Roman"/>
          <w:b w:val="false"/>
          <w:i w:val="false"/>
          <w:color w:val="000000"/>
          <w:sz w:val="24"/>
        </w:rPr>
        <w:t> </w:t>
      </w:r>
      <w:r>
        <w:rPr>
          <w:rFonts w:ascii="Times New Roman" w:hAnsi="Times New Roman"/>
          <w:b w:val="false"/>
          <w:i w:val="false"/>
          <w:color w:val="000000"/>
          <w:sz w:val="24"/>
        </w:rPr>
        <w:t>The workers’ compensation commissioner shall decide an appeal upon the record submitted to the deputy workers’ compensation commissioner unless the commissioner is satisfied that additional newly discovered material evidence exists, which could not have been discovered and produced at the hearing with reasonable diligence. A party must file a request for taking additional evidence in WCES within 20 days after the notice of appeal was filed. If a party has been granted a waiver of the mandatory use of WCES, the party shall file the request for taking additional evidence with the division of workers’ compensation and serve a copy on the other parties. Any briefs required or allowed by this rule shall be filed promptly following service. The agency will take additional evidence only if the party establishes that the evidence is material, that good cause existed for its not being presented at the hearing, and that the party has not waived the right to present the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2506.55(2)</w:t>
      </w:r>
      <w:r>
        <w:rPr>
          <w:rFonts w:ascii="Times New Roman" w:hAnsi="Times New Roman"/>
          <w:b w:val="false"/>
          <w:i w:val="false"/>
          <w:color w:val="000000"/>
          <w:sz w:val="24"/>
        </w:rPr>
        <w:t> </w:t>
      </w:r>
      <w:r>
        <w:rPr>
          <w:rFonts w:ascii="Times New Roman" w:hAnsi="Times New Roman"/>
          <w:b w:val="false"/>
          <w:i w:val="false"/>
          <w:color w:val="000000"/>
          <w:sz w:val="24"/>
        </w:rPr>
        <w:t>Time for serving briefs. An appellant shall serve the appellant’s brief within 50 days after the date on which the notice of appeal was filed, or within 20 days after the filing of the hearing transcript, whichever date is later. An appellee shall serve the appellee’s brief within 20 days after service of the brief of the appellant. If the appellant serves a reply brief, it shall be done within ten days after service of the appellee’s brief.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2506.55(3)</w:t>
      </w:r>
      <w:r>
        <w:rPr>
          <w:rFonts w:ascii="Times New Roman" w:hAnsi="Times New Roman"/>
          <w:b w:val="false"/>
          <w:i w:val="false"/>
          <w:color w:val="000000"/>
          <w:sz w:val="24"/>
        </w:rPr>
        <w:t> </w:t>
      </w:r>
      <w:r>
        <w:rPr>
          <w:rFonts w:ascii="Times New Roman" w:hAnsi="Times New Roman"/>
          <w:b w:val="false"/>
          <w:i w:val="false"/>
          <w:color w:val="000000"/>
          <w:sz w:val="24"/>
        </w:rPr>
        <w:t>Cross-appeals. In the event of a cross-appeal, an appellee (cross-appellant) shall serve the appellee’s brief within 20 days after service of the brief of an appellant. The appellant (cross-appellee) shall serve the appellant’s responsive reply brief within 20 days after service of the brief of the appellee. The appellee (cross-appellant) may serve a reply brief within ten days after service of the appellant’s reply brief. When more than one party appeals, the party filing the first notice of appeal will be designated the appellant and the party filing a subsequent notice of appeal will be designated the cross-appellant.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2506.55(4)</w:t>
      </w:r>
      <w:r>
        <w:rPr>
          <w:rFonts w:ascii="Times New Roman" w:hAnsi="Times New Roman"/>
          <w:b w:val="false"/>
          <w:i w:val="false"/>
          <w:color w:val="000000"/>
          <w:sz w:val="24"/>
        </w:rPr>
        <w:t> </w:t>
      </w:r>
      <w:r>
        <w:rPr>
          <w:rFonts w:ascii="Times New Roman" w:hAnsi="Times New Roman"/>
          <w:b w:val="false"/>
          <w:i w:val="false"/>
          <w:color w:val="000000"/>
          <w:sz w:val="24"/>
        </w:rPr>
        <w:t>Multiple adverse parties. In cases involving multiple appeals involving multiple claimants, employers, insurance carriers or the second injury fund, the commissioner shall enter an order establishing a briefing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2506.55(5)</w:t>
      </w:r>
      <w:r>
        <w:rPr>
          <w:rFonts w:ascii="Times New Roman" w:hAnsi="Times New Roman"/>
          <w:b w:val="false"/>
          <w:i w:val="false"/>
          <w:color w:val="000000"/>
          <w:sz w:val="24"/>
        </w:rPr>
        <w:t> </w:t>
      </w:r>
      <w:r>
        <w:rPr>
          <w:rFonts w:ascii="Times New Roman" w:hAnsi="Times New Roman"/>
          <w:b w:val="false"/>
          <w:i w:val="false"/>
          <w:color w:val="000000"/>
          <w:sz w:val="24"/>
        </w:rPr>
        <w:t>Form of briefs. Respective briefs and exceptions on appeal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Statement of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Statement of the issues on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argument corresponding to the separately stated issues and contentions of an appellant with respect to the issues presented and reasons for them, with specific reference to the page or pages of the transcript that are material to the issues on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short conclusion stating the precise relief sought.</w:t>
      </w:r>
    </w:p>
    <w:p>
      <w:pPr>
        <w:spacing w:before="0" w:after="0" w:line="480"/>
        <w:ind w:left="120"/>
        <w:jc w:val="both"/>
      </w:pPr>
      <w:r>
        <w:rPr>
          <w:rFonts w:ascii="Times New Roman" w:hAnsi="Times New Roman"/>
          <w:b w:val="false"/>
          <w:i w:val="false"/>
          <w:color w:val="000000"/>
          <w:sz w:val="24"/>
        </w:rPr>
        <w:t>An appellee may submit a brief on appeal replying to the issues presented by the appellant unless a cross-appeal is made, in which case the brief of the appellee shall contain the issues and argument involved in the cross-appeal as well as the response to the brief of the 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2506.55(6)</w:t>
      </w:r>
      <w:r>
        <w:rPr>
          <w:rFonts w:ascii="Times New Roman" w:hAnsi="Times New Roman"/>
          <w:b w:val="false"/>
          <w:i w:val="false"/>
          <w:color w:val="000000"/>
          <w:sz w:val="24"/>
        </w:rPr>
        <w:t> </w:t>
      </w:r>
      <w:r>
        <w:rPr>
          <w:rFonts w:ascii="Times New Roman" w:hAnsi="Times New Roman"/>
          <w:b w:val="false"/>
          <w:i w:val="false"/>
          <w:color w:val="000000"/>
          <w:sz w:val="24"/>
        </w:rPr>
        <w:t xml:space="preserve">Length of briefs. Information on length of briefs can be found in rule </w:t>
      </w:r>
      <w:hyperlink r:id="rId161">
        <w:r>
          <w:rPr>
            <w:rStyle w:val="Hyperlink"/>
            <w:rFonts w:ascii="Times New Roman" w:hAnsi="Times New Roman"/>
            <w:b w:val="false"/>
            <w:i w:val="false"/>
            <w:color w:val="000000"/>
            <w:sz w:val="24"/>
          </w:rPr>
          <w:t>876—2506.63</w:t>
        </w:r>
      </w:hyperlink>
      <w:r>
        <w:rPr>
          <w:rFonts w:ascii="Times New Roman" w:hAnsi="Times New Roman"/>
          <w:b w:val="false"/>
          <w:i w:val="false"/>
          <w:color w:val="000000"/>
          <w:sz w:val="24"/>
        </w:rPr>
        <w:t>(10A,17A).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2506.55(7)</w:t>
      </w:r>
      <w:r>
        <w:rPr>
          <w:rFonts w:ascii="Times New Roman" w:hAnsi="Times New Roman"/>
          <w:b w:val="false"/>
          <w:i w:val="false"/>
          <w:color w:val="000000"/>
          <w:sz w:val="24"/>
        </w:rPr>
        <w:t> </w:t>
      </w:r>
      <w:r>
        <w:rPr>
          <w:rFonts w:ascii="Times New Roman" w:hAnsi="Times New Roman"/>
          <w:b w:val="false"/>
          <w:i w:val="false"/>
          <w:color w:val="000000"/>
          <w:sz w:val="24"/>
        </w:rPr>
        <w:t>Extensions. One extension of up to 30 days will be granted if a motion to extend the time is served on or before the date service of the brief that is required by this rule. A subsequent extension requires a motion showing good cause. The commissioner may grant a party the right to serve and file a brief after the time to do so has expired if the appeal or cross-appeal has not been dismissed or decided, the party moves for relief within 60 days from the date service of the brief was due, and the motion shows that the failure to timely serve the brief was due to a good cause that could not have been avoided through the exercise of reasonable diligence.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2506.55(8)</w:t>
      </w:r>
      <w:r>
        <w:rPr>
          <w:rFonts w:ascii="Times New Roman" w:hAnsi="Times New Roman"/>
          <w:b w:val="false"/>
          <w:i w:val="false"/>
          <w:color w:val="000000"/>
          <w:sz w:val="24"/>
        </w:rPr>
        <w:t> </w:t>
      </w:r>
      <w:r>
        <w:rPr>
          <w:rFonts w:ascii="Times New Roman" w:hAnsi="Times New Roman"/>
          <w:b w:val="false"/>
          <w:i w:val="false"/>
          <w:color w:val="000000"/>
          <w:sz w:val="24"/>
        </w:rPr>
        <w:t xml:space="preserve">Issues considered on appeal. The appeal will consider the issues presented for review by the appellant and cross-appellant in their briefs and any issues necessarily incident to or dependent upon the issues that are expressly raised, except as provided in rule </w:t>
      </w:r>
      <w:hyperlink r:id="rId162">
        <w:r>
          <w:rPr>
            <w:rStyle w:val="Hyperlink"/>
            <w:rFonts w:ascii="Times New Roman" w:hAnsi="Times New Roman"/>
            <w:b w:val="false"/>
            <w:i w:val="false"/>
            <w:color w:val="000000"/>
            <w:sz w:val="24"/>
          </w:rPr>
          <w:t>876—2506.56</w:t>
        </w:r>
      </w:hyperlink>
      <w:r>
        <w:rPr>
          <w:rFonts w:ascii="Times New Roman" w:hAnsi="Times New Roman"/>
          <w:b w:val="false"/>
          <w:i w:val="false"/>
          <w:color w:val="000000"/>
          <w:sz w:val="24"/>
        </w:rPr>
        <w:t>(10A,17A). An issue will not be considered on appeal if the issue could have been but was not presented to the deputy commissioner. An issue raised on appeal is decided de novo, and the scope of the issue is viewed broadly. If the ruling from which the appeal was taken made a choice between alternative findings of fact, conclusions of law, theories of recovery or defenses and the alternative selected in the ruling is challenged as an issue on appeal, de novo review includes reconsideration of all alternatives that were available to the deputy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2506.55(9)</w:t>
      </w:r>
      <w:r>
        <w:rPr>
          <w:rFonts w:ascii="Times New Roman" w:hAnsi="Times New Roman"/>
          <w:b w:val="false"/>
          <w:i w:val="false"/>
          <w:color w:val="000000"/>
          <w:sz w:val="24"/>
        </w:rPr>
        <w:t> </w:t>
      </w:r>
      <w:r>
        <w:rPr>
          <w:rFonts w:ascii="Times New Roman" w:hAnsi="Times New Roman"/>
          <w:b w:val="false"/>
          <w:i w:val="false"/>
          <w:color w:val="000000"/>
          <w:sz w:val="24"/>
        </w:rPr>
        <w:t>Sanctions. If an appellant’s brief or cross-appellant’s brief is not served and filed within the time required by this rule, including any extension, the party defending against the appeal or cross-appeal may move for dismissal. If an appellant’s brief or cross-appellant’s brief is not served within 30 days after the time required by these rules, including any extension, the commissioner will notify the party in default that upon 15 days from service of the notification the appeal or cross-appeal will be dismissed for want of prosecution unless the default is remedied within that period. If the default is not remedied, the appeal or cross-appeal will be dismissed. If an appellee’s brief or a cross-appellee’s brief is not served and filed, the appeal will be decided without reference to that brief.</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3">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876—2506.56</w:t>
      </w:r>
      <w:r>
        <w:rPr>
          <w:rFonts w:ascii="Times New Roman" w:hAnsi="Times New Roman"/>
          <w:b/>
          <w:i w:val="false"/>
          <w:color w:val="000000"/>
          <w:sz w:val="24"/>
        </w:rPr>
        <w:t xml:space="preserve">(10A,17A) </w:t>
      </w:r>
      <w:r>
        <w:rPr>
          <w:rFonts w:ascii="Times New Roman" w:hAnsi="Times New Roman"/>
          <w:b/>
          <w:i w:val="false"/>
          <w:color w:val="000000"/>
          <w:sz w:val="24"/>
        </w:rPr>
        <w:t xml:space="preserve">Review upon motion. </w:t>
      </w:r>
      <w:r>
        <w:rPr>
          <w:rFonts w:ascii="Times New Roman" w:hAnsi="Times New Roman"/>
          <w:b w:val="false"/>
          <w:i w:val="false"/>
          <w:color w:val="000000"/>
          <w:sz w:val="24"/>
        </w:rPr>
        <w:t xml:space="preserve">Except as provided in rule </w:t>
      </w:r>
      <w:hyperlink r:id="rId164">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 xml:space="preserve">(10A,17A), the workers’ compensation commissioner may review the decision, order or ruling of a deputy workers’ compensation commissioner in any contested case upon the commissioner’s own motion. Except as provided in rule </w:t>
      </w:r>
      <w:hyperlink r:id="rId165">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(10A,17A), the motion to review a decision, order or ruling in all contested cases must be filed within 20 days of the filing of the decision, order or ruling. The commissioner shall specify in a notice filed in WCES or mailed to the parties by certified mail, return receipt requested, on the date of filing of the motion the issues to be reviewed and the additional evidence, if any, to be obtained by the parties. The hearing under this rule shall be heard in Polk County or in any locality designated by the commissioner.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6">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and </w:t>
      </w:r>
      <w:hyperlink r:id="rId167">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876—2506.57</w:t>
      </w:r>
      <w:r>
        <w:rPr>
          <w:rFonts w:ascii="Times New Roman" w:hAnsi="Times New Roman"/>
          <w:b/>
          <w:i w:val="false"/>
          <w:color w:val="000000"/>
          <w:sz w:val="24"/>
        </w:rPr>
        <w:t xml:space="preserve">(10A,17A) </w:t>
      </w:r>
      <w:r>
        <w:rPr>
          <w:rFonts w:ascii="Times New Roman" w:hAnsi="Times New Roman"/>
          <w:b/>
          <w:i w:val="false"/>
          <w:color w:val="000000"/>
          <w:sz w:val="24"/>
        </w:rPr>
        <w:t xml:space="preserve">Transcript on appeal or review. </w:t>
      </w:r>
      <w:r>
        <w:rPr>
          <w:rFonts w:ascii="Times New Roman" w:hAnsi="Times New Roman"/>
          <w:b w:val="false"/>
          <w:i w:val="false"/>
          <w:color w:val="000000"/>
          <w:sz w:val="24"/>
        </w:rPr>
        <w:t xml:space="preserve">When an appeal to or a review on a motion of the workers’ compensation commissioner is taken pursuant to rule </w:t>
      </w:r>
      <w:hyperlink r:id="rId168">
        <w:r>
          <w:rPr>
            <w:rStyle w:val="Hyperlink"/>
            <w:rFonts w:ascii="Times New Roman" w:hAnsi="Times New Roman"/>
            <w:b w:val="false"/>
            <w:i w:val="false"/>
            <w:color w:val="000000"/>
            <w:sz w:val="24"/>
          </w:rPr>
          <w:t>876—2506.54</w:t>
        </w:r>
      </w:hyperlink>
      <w:r>
        <w:rPr>
          <w:rFonts w:ascii="Times New Roman" w:hAnsi="Times New Roman"/>
          <w:b w:val="false"/>
          <w:i w:val="false"/>
          <w:color w:val="000000"/>
          <w:sz w:val="24"/>
        </w:rPr>
        <w:t xml:space="preserve">(10A,17A) or </w:t>
      </w:r>
      <w:hyperlink r:id="rId169">
        <w:r>
          <w:rPr>
            <w:rStyle w:val="Hyperlink"/>
            <w:rFonts w:ascii="Times New Roman" w:hAnsi="Times New Roman"/>
            <w:b w:val="false"/>
            <w:i w:val="false"/>
            <w:color w:val="000000"/>
            <w:sz w:val="24"/>
          </w:rPr>
          <w:t>876—2506.56</w:t>
        </w:r>
      </w:hyperlink>
      <w:r>
        <w:rPr>
          <w:rFonts w:ascii="Times New Roman" w:hAnsi="Times New Roman"/>
          <w:b w:val="false"/>
          <w:i w:val="false"/>
          <w:color w:val="000000"/>
          <w:sz w:val="24"/>
        </w:rPr>
        <w:t>(10A,17A), a transcript of the proceedings before the commissioner shall be filed with the commissioner within 30 days after the notice of the appeal is filed with the commissioner. The appealing party shall bear the initial cost of transcription on appeal and shall pay the certified shorthand reporter or service for the transcript. In the event there is a cross-appeal, the appellant and cross-appellant shall share the cost of the transcript. In the event the cost of the transcript has been initially borne by a nonappealing party prior to appeal, the nonappealing party is entitled to reimbursement within 30 days after serving on the appealing party proof of the cost of the transcript. If not so reimbursed, the appeal may be dismissed.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0">
        <w:r>
          <w:rPr>
            <w:rStyle w:val="Hyperlink"/>
            <w:rFonts w:ascii="Times New Roman" w:hAnsi="Times New Roman"/>
            <w:b w:val="false"/>
            <w:i w:val="false"/>
            <w:color w:val="000000"/>
            <w:sz w:val="24"/>
          </w:rPr>
          <w:t>10A.320</w:t>
        </w:r>
      </w:hyperlink>
      <w:r>
        <w:rPr>
          <w:rFonts w:ascii="Times New Roman" w:hAnsi="Times New Roman"/>
          <w:b w:val="false"/>
          <w:i w:val="false"/>
          <w:color w:val="000000"/>
          <w:sz w:val="24"/>
        </w:rPr>
        <w:t xml:space="preserve">, </w:t>
      </w:r>
      <w:hyperlink r:id="rId171">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w:t>
      </w:r>
      <w:hyperlink r:id="rId172">
        <w:r>
          <w:rPr>
            <w:rStyle w:val="Hyperlink"/>
            <w:rFonts w:ascii="Times New Roman" w:hAnsi="Times New Roman"/>
            <w:b w:val="false"/>
            <w:i w:val="false"/>
            <w:color w:val="000000"/>
            <w:sz w:val="24"/>
          </w:rPr>
          <w:t>10A.328</w:t>
        </w:r>
      </w:hyperlink>
      <w:r>
        <w:rPr>
          <w:rFonts w:ascii="Times New Roman" w:hAnsi="Times New Roman"/>
          <w:b w:val="false"/>
          <w:i w:val="false"/>
          <w:color w:val="000000"/>
          <w:sz w:val="24"/>
        </w:rPr>
        <w:t xml:space="preserve">, </w:t>
      </w:r>
      <w:hyperlink r:id="rId17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174">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876—2506.58</w:t>
      </w:r>
      <w:r>
        <w:rPr>
          <w:rFonts w:ascii="Times New Roman" w:hAnsi="Times New Roman"/>
          <w:b/>
          <w:i w:val="false"/>
          <w:color w:val="000000"/>
          <w:sz w:val="24"/>
        </w:rPr>
        <w:t xml:space="preserve">(10A) </w:t>
      </w:r>
      <w:r>
        <w:rPr>
          <w:rFonts w:ascii="Times New Roman" w:hAnsi="Times New Roman"/>
          <w:b/>
          <w:i w:val="false"/>
          <w:color w:val="000000"/>
          <w:sz w:val="24"/>
        </w:rPr>
        <w:t xml:space="preserve">Recording of proceedings. </w:t>
      </w:r>
      <w:r>
        <w:rPr>
          <w:rFonts w:ascii="Times New Roman" w:hAnsi="Times New Roman"/>
          <w:b w:val="false"/>
          <w:i w:val="false"/>
          <w:color w:val="000000"/>
          <w:sz w:val="24"/>
        </w:rPr>
        <w:t>The workers’ compensation commissioner may arrange for the attendance of a certified shorthand reporter or mechanical means to record proceedings in contested cases. The commissioner may require a defendant employer or on appeal to the commissioner, an appellant, to arrange for the attendance of a certified shorthand reporter or adequate mechanical means of recording the proceedings. The charges for attendance shall be paid initially to the certified shorthand reporter or service by the defendant employer or, on an appeal to the commissioner, the appellant. The charges shall be taxed as costs. The party initially paying the expense shall be reimbursed by the party taxed with the cost. If the expense is unpaid, it shall be paid by the party taxed with the cost.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5">
        <w:r>
          <w:rPr>
            <w:rStyle w:val="Hyperlink"/>
            <w:rFonts w:ascii="Times New Roman" w:hAnsi="Times New Roman"/>
            <w:b w:val="false"/>
            <w:i w:val="false"/>
            <w:color w:val="000000"/>
            <w:sz w:val="24"/>
          </w:rPr>
          <w:t>10A.320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876—2506.59</w:t>
      </w:r>
      <w:r>
        <w:rPr>
          <w:rFonts w:ascii="Times New Roman" w:hAnsi="Times New Roman"/>
          <w:b/>
          <w:i w:val="false"/>
          <w:color w:val="000000"/>
          <w:sz w:val="24"/>
        </w:rPr>
        <w:t xml:space="preserve">(10A) </w:t>
      </w:r>
      <w:r>
        <w:rPr>
          <w:rFonts w:ascii="Times New Roman" w:hAnsi="Times New Roman"/>
          <w:b/>
          <w:i w:val="false"/>
          <w:color w:val="000000"/>
          <w:sz w:val="24"/>
        </w:rPr>
        <w:t xml:space="preserve">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2506.59(1)</w:t>
      </w:r>
      <w:r>
        <w:rPr>
          <w:rFonts w:ascii="Times New Roman" w:hAnsi="Times New Roman"/>
          <w:b w:val="false"/>
          <w:i w:val="false"/>
          <w:color w:val="000000"/>
          <w:sz w:val="24"/>
        </w:rPr>
        <w:t> </w:t>
      </w:r>
      <w:r>
        <w:rPr>
          <w:rFonts w:ascii="Times New Roman" w:hAnsi="Times New Roman"/>
          <w:b w:val="false"/>
          <w:i w:val="false"/>
          <w:color w:val="000000"/>
          <w:sz w:val="24"/>
        </w:rPr>
        <w:t>Costs taxed by the workers’ compensation commissioner or a deputy workers’ compensation commissioner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Costs of attendance of a certified shorthand reporter or presence of mechanical means at hearings and evidential depositions;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Transcription costs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Costs of service of the original notice and subpoenas;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Witness fees and expenses as provided by Iowa Code sections </w:t>
      </w:r>
      <w:hyperlink r:id="rId176">
        <w:r>
          <w:rPr>
            <w:rStyle w:val="Hyperlink"/>
            <w:rFonts w:ascii="Times New Roman" w:hAnsi="Times New Roman"/>
            <w:b w:val="false"/>
            <w:i w:val="false"/>
            <w:color w:val="000000"/>
            <w:sz w:val="24"/>
          </w:rPr>
          <w:t>622.69</w:t>
        </w:r>
      </w:hyperlink>
      <w:r>
        <w:rPr>
          <w:rFonts w:ascii="Times New Roman" w:hAnsi="Times New Roman"/>
          <w:b w:val="false"/>
          <w:i w:val="false"/>
          <w:color w:val="000000"/>
          <w:sz w:val="24"/>
        </w:rPr>
        <w:t xml:space="preserve"> and </w:t>
      </w:r>
      <w:hyperlink r:id="rId177">
        <w:r>
          <w:rPr>
            <w:rStyle w:val="Hyperlink"/>
            <w:rFonts w:ascii="Times New Roman" w:hAnsi="Times New Roman"/>
            <w:b w:val="false"/>
            <w:i w:val="false"/>
            <w:color w:val="000000"/>
            <w:sz w:val="24"/>
          </w:rPr>
          <w:t>622.72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doctors’ and practitioners’ deposition testimony, provided that said costs do not exceed the amounts provided by Iowa Code sections </w:t>
      </w:r>
      <w:hyperlink r:id="rId178">
        <w:r>
          <w:rPr>
            <w:rStyle w:val="Hyperlink"/>
            <w:rFonts w:ascii="Times New Roman" w:hAnsi="Times New Roman"/>
            <w:b w:val="false"/>
            <w:i w:val="false"/>
            <w:color w:val="000000"/>
            <w:sz w:val="24"/>
          </w:rPr>
          <w:t>622.69</w:t>
        </w:r>
      </w:hyperlink>
      <w:r>
        <w:rPr>
          <w:rFonts w:ascii="Times New Roman" w:hAnsi="Times New Roman"/>
          <w:b w:val="false"/>
          <w:i w:val="false"/>
          <w:color w:val="000000"/>
          <w:sz w:val="24"/>
        </w:rPr>
        <w:t xml:space="preserve"> and </w:t>
      </w:r>
      <w:hyperlink r:id="rId179">
        <w:r>
          <w:rPr>
            <w:rStyle w:val="Hyperlink"/>
            <w:rFonts w:ascii="Times New Roman" w:hAnsi="Times New Roman"/>
            <w:b w:val="false"/>
            <w:i w:val="false"/>
            <w:color w:val="000000"/>
            <w:sz w:val="24"/>
          </w:rPr>
          <w:t>622.72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reasonable costs of obtaining no more than two doctors’ or practitioners’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Filing fees when appropriate, including convenience fees incurred by using the WCES payment gateway;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Costs of persons reviewing health service disputes.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2506.59(2)</w:t>
      </w:r>
      <w:r>
        <w:rPr>
          <w:rFonts w:ascii="Times New Roman" w:hAnsi="Times New Roman"/>
          <w:b w:val="false"/>
          <w:i w:val="false"/>
          <w:color w:val="000000"/>
          <w:sz w:val="24"/>
        </w:rPr>
        <w:t> </w:t>
      </w:r>
      <w:r>
        <w:rPr>
          <w:rFonts w:ascii="Times New Roman" w:hAnsi="Times New Roman"/>
          <w:b w:val="false"/>
          <w:i w:val="false"/>
          <w:color w:val="000000"/>
          <w:sz w:val="24"/>
        </w:rPr>
        <w:t xml:space="preserve">Costs of service of notice and subpoenas shall be paid initially to the serving person or agency by the party utilizing the service. Expenses and fees of witnesses or of obtaining doctors’ or practitioners’ reports initially shall be paid to the witnesses, doctors or practitioners by the party on whose behalf the witness is called or by whom the report is requested. Witness fees shall be paid in accordance with Iowa Code section </w:t>
      </w:r>
      <w:hyperlink r:id="rId180">
        <w:r>
          <w:rPr>
            <w:rStyle w:val="Hyperlink"/>
            <w:rFonts w:ascii="Times New Roman" w:hAnsi="Times New Roman"/>
            <w:b w:val="false"/>
            <w:i w:val="false"/>
            <w:color w:val="000000"/>
            <w:sz w:val="24"/>
          </w:rPr>
          <w:t>622.74</w:t>
        </w:r>
      </w:hyperlink>
      <w:r>
        <w:rPr>
          <w:rFonts w:ascii="Times New Roman" w:hAnsi="Times New Roman"/>
          <w:b w:val="false"/>
          <w:i w:val="false"/>
          <w:color w:val="000000"/>
          <w:sz w:val="24"/>
        </w:rPr>
        <w:t>. Proof of payment of any cost shall be filed with the commissioner before costs are taxed. The party initially paying the expense shall be reimbursed by the party taxed with the cost. If the expense is unpaid, it shall be paid by the party taxed with the cost. Costs are to be assessed at the discretion of the deputy commissioner or commissioner hearing the case unless otherwise required by the Iowa Rules of Civil Procedure governing discovery.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1">
        <w:r>
          <w:rPr>
            <w:rStyle w:val="Hyperlink"/>
            <w:rFonts w:ascii="Times New Roman" w:hAnsi="Times New Roman"/>
            <w:b w:val="false"/>
            <w:i w:val="false"/>
            <w:color w:val="000000"/>
            <w:sz w:val="24"/>
          </w:rPr>
          <w:t>10A.328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876—2506.60</w:t>
      </w:r>
      <w:r>
        <w:rPr>
          <w:rFonts w:ascii="Times New Roman" w:hAnsi="Times New Roman"/>
          <w:b/>
          <w:i w:val="false"/>
          <w:color w:val="000000"/>
          <w:sz w:val="24"/>
        </w:rPr>
        <w:t xml:space="preserve">(10A,17A) </w:t>
      </w:r>
      <w:r>
        <w:rPr>
          <w:rFonts w:ascii="Times New Roman" w:hAnsi="Times New Roman"/>
          <w:b/>
          <w:i w:val="false"/>
          <w:color w:val="000000"/>
          <w:sz w:val="24"/>
        </w:rPr>
        <w:t xml:space="preserve">Dismissal for lack of prosecution. </w:t>
      </w:r>
      <w:r>
        <w:rPr>
          <w:rFonts w:ascii="Times New Roman" w:hAnsi="Times New Roman"/>
          <w:b w:val="false"/>
          <w:i w:val="false"/>
          <w:color w:val="000000"/>
          <w:sz w:val="24"/>
        </w:rPr>
        <w:t>It is the declared policy that in the exercise of reasonable diligence, all contested cases before the workers’ compensation commissioner, except under unusual circumstances, shall be brought to issue and heard at the earliest possible time. To accomplish such purpose, the commissioner may take the following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2506.60(1)</w:t>
      </w:r>
      <w:r>
        <w:rPr>
          <w:rFonts w:ascii="Times New Roman" w:hAnsi="Times New Roman"/>
          <w:b w:val="false"/>
          <w:i w:val="false"/>
          <w:color w:val="000000"/>
          <w:sz w:val="24"/>
        </w:rPr>
        <w:t> </w:t>
      </w:r>
      <w:r>
        <w:rPr>
          <w:rFonts w:ascii="Times New Roman" w:hAnsi="Times New Roman"/>
          <w:b w:val="false"/>
          <w:i w:val="false"/>
          <w:color w:val="000000"/>
          <w:sz w:val="24"/>
        </w:rPr>
        <w:t xml:space="preserve">Any contested case, where the original notice and petition is on file in excess of two years, may be subject to dismissal after the notice described in subrule </w:t>
      </w:r>
      <w:hyperlink r:id="rId182">
        <w:r>
          <w:rPr>
            <w:rStyle w:val="Hyperlink"/>
            <w:rFonts w:ascii="Times New Roman" w:hAnsi="Times New Roman"/>
            <w:b w:val="false"/>
            <w:i w:val="false"/>
            <w:color w:val="000000"/>
            <w:sz w:val="24"/>
          </w:rPr>
          <w:t>2506.60(2)</w:t>
        </w:r>
      </w:hyperlink>
      <w:r>
        <w:rPr>
          <w:rFonts w:ascii="Times New Roman" w:hAnsi="Times New Roman"/>
          <w:b w:val="false"/>
          <w:i w:val="false"/>
          <w:color w:val="000000"/>
          <w:sz w:val="24"/>
        </w:rPr>
        <w:t xml:space="preserve"> is sent to all parties and after the time as provided for in the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2506.60(2)</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the circumstances provided in subrule </w:t>
      </w:r>
      <w:hyperlink r:id="rId183">
        <w:r>
          <w:rPr>
            <w:rStyle w:val="Hyperlink"/>
            <w:rFonts w:ascii="Times New Roman" w:hAnsi="Times New Roman"/>
            <w:b w:val="false"/>
            <w:i w:val="false"/>
            <w:color w:val="000000"/>
            <w:sz w:val="24"/>
          </w:rPr>
          <w:t>2506.60(1)</w:t>
        </w:r>
      </w:hyperlink>
      <w:r>
        <w:rPr>
          <w:rFonts w:ascii="Times New Roman" w:hAnsi="Times New Roman"/>
          <w:b w:val="false"/>
          <w:i w:val="false"/>
          <w:color w:val="000000"/>
          <w:sz w:val="24"/>
        </w:rPr>
        <w:t xml:space="preserve"> occur, all parties to the action, or their attorneys, shall be sent a notice from the division of workers’ compensation by certified mail containing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of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or dates of injury involved in the contested case or appeal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Counsel appearing;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Date of filing of the petition or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That the contested case proceeding will be dismissed without prejudice on the thirtieth day following the date of the notice unless good cause is shown why the contested case proceeding should not be dismissed.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2506.60(3)</w:t>
      </w:r>
      <w:r>
        <w:rPr>
          <w:rFonts w:ascii="Times New Roman" w:hAnsi="Times New Roman"/>
          <w:b w:val="false"/>
          <w:i w:val="false"/>
          <w:color w:val="000000"/>
          <w:sz w:val="24"/>
        </w:rPr>
        <w:t> </w:t>
      </w:r>
      <w:r>
        <w:rPr>
          <w:rFonts w:ascii="Times New Roman" w:hAnsi="Times New Roman"/>
          <w:b w:val="false"/>
          <w:i w:val="false"/>
          <w:color w:val="000000"/>
          <w:sz w:val="24"/>
        </w:rPr>
        <w:t>The action or actions dismissed may, at the discretion of the commissioner, and shall, upon a showing that such dismissal was the result of oversight, mistake or other reasonable cause, be reinstated. Applications for such reinstatement, setting forth the grounds, shall be filed within three months from the date of dismissal.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4">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85">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186">
        <w:r>
          <w:rPr>
            <w:rStyle w:val="Hyperlink"/>
            <w:rFonts w:ascii="Times New Roman" w:hAnsi="Times New Roman"/>
            <w:b w:val="false"/>
            <w:i w:val="false"/>
            <w:color w:val="000000"/>
            <w:sz w:val="24"/>
          </w:rPr>
          <w:t>17A.3(1)</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876—2506.61</w:t>
      </w:r>
      <w:r>
        <w:rPr>
          <w:rFonts w:ascii="Times New Roman" w:hAnsi="Times New Roman"/>
          <w:b/>
          <w:i w:val="false"/>
          <w:color w:val="000000"/>
          <w:sz w:val="24"/>
        </w:rPr>
        <w:t xml:space="preserve">(10A,17A) </w:t>
      </w:r>
      <w:r>
        <w:rPr>
          <w:rFonts w:ascii="Times New Roman" w:hAnsi="Times New Roman"/>
          <w:b/>
          <w:i w:val="false"/>
          <w:color w:val="000000"/>
          <w:sz w:val="24"/>
        </w:rPr>
        <w:t xml:space="preserve">Iowa Rules of Civil Procedure. </w:t>
      </w:r>
      <w:r>
        <w:rPr>
          <w:rFonts w:ascii="Times New Roman" w:hAnsi="Times New Roman"/>
          <w:b w:val="false"/>
          <w:i w:val="false"/>
          <w:color w:val="000000"/>
          <w:sz w:val="24"/>
        </w:rPr>
        <w:t xml:space="preserve">The Iowa Rules of Civil Procedure shall govern the contested case proceedings before the workers’ compensation commissioner unless the provisions are in conflict with these rules and Iowa Code chapters </w:t>
      </w:r>
      <w:hyperlink r:id="rId187">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8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89">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190">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191">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In those circumstances, these rules or the appropriate Iowa Code section shall govern. Where appropriate, reference to the word “court” shall be deemed reference to the “workers’ compensation commissioner” and reference to the word “trial” shall be deemed reference to “contested case hearing.”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2">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93">
        <w:r>
          <w:rPr>
            <w:rStyle w:val="Hyperlink"/>
            <w:rFonts w:ascii="Times New Roman" w:hAnsi="Times New Roman"/>
            <w:b w:val="false"/>
            <w:i w:val="false"/>
            <w:color w:val="000000"/>
            <w:sz w:val="24"/>
          </w:rPr>
          <w:t>17A.1</w:t>
        </w:r>
      </w:hyperlink>
      <w:r>
        <w:rPr>
          <w:rFonts w:ascii="Times New Roman" w:hAnsi="Times New Roman"/>
          <w:b w:val="false"/>
          <w:i w:val="false"/>
          <w:color w:val="000000"/>
          <w:sz w:val="24"/>
        </w:rPr>
        <w:t xml:space="preserve">, and </w:t>
      </w:r>
      <w:hyperlink r:id="rId194">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through </w:t>
      </w:r>
      <w:hyperlink r:id="rId195">
        <w:r>
          <w:rPr>
            <w:rStyle w:val="Hyperlink"/>
            <w:rFonts w:ascii="Times New Roman" w:hAnsi="Times New Roman"/>
            <w:b w:val="false"/>
            <w:i w:val="false"/>
            <w:color w:val="000000"/>
            <w:sz w:val="24"/>
          </w:rPr>
          <w:t>17A.14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876—2506.62</w:t>
      </w:r>
      <w:r>
        <w:rPr>
          <w:rFonts w:ascii="Times New Roman" w:hAnsi="Times New Roman"/>
          <w:b/>
          <w:i w:val="false"/>
          <w:color w:val="000000"/>
          <w:sz w:val="24"/>
        </w:rPr>
        <w:t xml:space="preserve">(10A) </w:t>
      </w:r>
      <w:r>
        <w:rPr>
          <w:rFonts w:ascii="Times New Roman" w:hAnsi="Times New Roman"/>
          <w:b/>
          <w:i w:val="false"/>
          <w:color w:val="000000"/>
          <w:sz w:val="24"/>
        </w:rPr>
        <w:t xml:space="preserve">Compliance with order or rules. </w:t>
      </w:r>
      <w:r>
        <w:rPr>
          <w:rFonts w:ascii="Times New Roman" w:hAnsi="Times New Roman"/>
          <w:b w:val="false"/>
          <w:i w:val="false"/>
          <w:color w:val="000000"/>
          <w:sz w:val="24"/>
        </w:rPr>
        <w:t>If any party to a contested case or an attorney representing such party shall fail to comply with these rules or any order of a deputy workers’ compensation commissioner or the workers’ compensation commissioner, the deputy commissioner or commissioner may impose sanctions that may include dismissing the action without prejudice, excluding or limiting evidence, assessing costs or expenses, and closing the record in whole or in part to further activity by the party.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6">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876—2506.63</w:t>
      </w:r>
      <w:r>
        <w:rPr>
          <w:rFonts w:ascii="Times New Roman" w:hAnsi="Times New Roman"/>
          <w:b/>
          <w:i w:val="false"/>
          <w:color w:val="000000"/>
          <w:sz w:val="24"/>
        </w:rPr>
        <w:t xml:space="preserve">(10A,17A) </w:t>
      </w:r>
      <w:r>
        <w:rPr>
          <w:rFonts w:ascii="Times New Roman" w:hAnsi="Times New Roman"/>
          <w:b/>
          <w:i w:val="false"/>
          <w:color w:val="000000"/>
          <w:sz w:val="24"/>
        </w:rPr>
        <w:t xml:space="preserve">Length of briefs. </w:t>
      </w:r>
      <w:r>
        <w:rPr>
          <w:rFonts w:ascii="Times New Roman" w:hAnsi="Times New Roman"/>
          <w:b w:val="false"/>
          <w:i w:val="false"/>
          <w:color w:val="000000"/>
          <w:sz w:val="24"/>
        </w:rPr>
        <w:t xml:space="preserve">Except by permission of the presiding deputy workers’ compensation commissioner or by permission of the workers’ compensation commissioner when an appeal pursuant to rule </w:t>
      </w:r>
      <w:hyperlink r:id="rId197">
        <w:r>
          <w:rPr>
            <w:rStyle w:val="Hyperlink"/>
            <w:rFonts w:ascii="Times New Roman" w:hAnsi="Times New Roman"/>
            <w:b w:val="false"/>
            <w:i w:val="false"/>
            <w:color w:val="000000"/>
            <w:sz w:val="24"/>
          </w:rPr>
          <w:t>876—2506.54</w:t>
        </w:r>
      </w:hyperlink>
      <w:r>
        <w:rPr>
          <w:rFonts w:ascii="Times New Roman" w:hAnsi="Times New Roman"/>
          <w:b w:val="false"/>
          <w:i w:val="false"/>
          <w:color w:val="000000"/>
          <w:sz w:val="24"/>
        </w:rPr>
        <w:t>(10A,17A) has been filed, principal briefs shall not exceed 50 Arabic-numbered pages. Reply briefs shall not exceed 25 Arabic-numbered pages. In the event of a cross-appeal, an appellant’s (cross-appellee’s) responsive reply brief shall be considered a principal brief. The type used shall not be smaller than pica type, and each line shall contain an average of no more than 60 characters. If a brief is submitted in excess of the length allowed in this rule, the portion exceeding the allowable length will not be considered. This rule does not prohibit a presiding deputy commissioner or the commissioner from limiting the length of a brief. An exception to this rule is the length of briefs (three pages) in an application for alternate care.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8">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9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w:t>
      </w:r>
      <w:hyperlink r:id="rId200">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w:t>
      </w:r>
      <w:hyperlink r:id="rId201">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02">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876—2506.64</w:t>
      </w:r>
      <w:r>
        <w:rPr>
          <w:rFonts w:ascii="Times New Roman" w:hAnsi="Times New Roman"/>
          <w:b/>
          <w:i w:val="false"/>
          <w:color w:val="000000"/>
          <w:sz w:val="24"/>
        </w:rPr>
        <w:t xml:space="preserve">(10A,17A,85) </w:t>
      </w:r>
      <w:r>
        <w:rPr>
          <w:rFonts w:ascii="Times New Roman" w:hAnsi="Times New Roman"/>
          <w:b/>
          <w:i w:val="false"/>
          <w:color w:val="000000"/>
          <w:sz w:val="24"/>
        </w:rPr>
        <w:t xml:space="preserve">Contested case proceedings—health service disputes.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2506.64(1)</w:t>
      </w:r>
      <w:r>
        <w:rPr>
          <w:rFonts w:ascii="Times New Roman" w:hAnsi="Times New Roman"/>
          <w:b w:val="false"/>
          <w:i w:val="false"/>
          <w:color w:val="000000"/>
          <w:sz w:val="24"/>
        </w:rPr>
        <w:t> </w:t>
      </w:r>
      <w:r>
        <w:rPr>
          <w:rFonts w:ascii="Times New Roman" w:hAnsi="Times New Roman"/>
          <w:b w:val="false"/>
          <w:i w:val="false"/>
          <w:color w:val="000000"/>
          <w:sz w:val="24"/>
        </w:rPr>
        <w:t xml:space="preserve">More information about informal resolution procedures and definitions can be found in rule </w:t>
      </w:r>
      <w:hyperlink r:id="rId203">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(17A,85,86). The following definition also applies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“Petitioning party”</w:t>
      </w:r>
      <w:r>
        <w:rPr>
          <w:rFonts w:ascii="Times New Roman" w:hAnsi="Times New Roman"/>
          <w:b w:val="false"/>
          <w:i/>
          <w:color w:val="000000"/>
          <w:sz w:val="24"/>
          <w:u w:val="single"/>
        </w:rPr>
        <w:t> </w:t>
      </w:r>
      <w:r>
        <w:rPr>
          <w:rFonts w:ascii="Times New Roman" w:hAnsi="Times New Roman"/>
          <w:b w:val="false"/>
          <w:i w:val="false"/>
          <w:color w:val="000000"/>
          <w:sz w:val="24"/>
        </w:rPr>
        <w:t>means the person who requests or initiates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2506.64(2)</w:t>
      </w:r>
      <w:r>
        <w:rPr>
          <w:rFonts w:ascii="Times New Roman" w:hAnsi="Times New Roman"/>
          <w:b w:val="false"/>
          <w:i w:val="false"/>
          <w:color w:val="000000"/>
          <w:sz w:val="24"/>
        </w:rPr>
        <w:t> </w:t>
      </w:r>
      <w:r>
        <w:rPr>
          <w:rFonts w:ascii="Times New Roman" w:hAnsi="Times New Roman"/>
          <w:b w:val="false"/>
          <w:i w:val="false"/>
          <w:color w:val="000000"/>
          <w:sz w:val="24"/>
        </w:rPr>
        <w:t xml:space="preserve">If utilization of the procedures given in rule </w:t>
      </w:r>
      <w:hyperlink r:id="rId204">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does not resolve the dispute and the parties have complied with the good faith requirements of rule </w:t>
      </w:r>
      <w:hyperlink r:id="rId205">
        <w:r>
          <w:rPr>
            <w:rStyle w:val="Hyperlink"/>
            <w:rFonts w:ascii="Times New Roman" w:hAnsi="Times New Roman"/>
            <w:b w:val="false"/>
            <w:i w:val="false"/>
            <w:color w:val="000000"/>
            <w:sz w:val="24"/>
          </w:rPr>
          <w:t>876—10.1</w:t>
        </w:r>
      </w:hyperlink>
      <w:r>
        <w:rPr>
          <w:rFonts w:ascii="Times New Roman" w:hAnsi="Times New Roman"/>
          <w:b w:val="false"/>
          <w:i w:val="false"/>
          <w:color w:val="000000"/>
          <w:sz w:val="24"/>
        </w:rPr>
        <w:t xml:space="preserve">(17A,85,86), a contested case may be initiated. The procedures given in rule </w:t>
      </w:r>
      <w:hyperlink r:id="rId206">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must be used prior to initiation of a contested case. The provider or the responsible party that is unwilling to accept the determination of the person making a determination after reviewing the dispute as provided in rule </w:t>
      </w:r>
      <w:hyperlink r:id="rId207">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shall initiate the contested case proceeding. The proceeding shall be initiated as provided in this chapter and Iowa Code chapter </w:t>
      </w:r>
      <w:hyperlink r:id="rId20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shall follow the provisions of this rule. The proceeding must be initiated within 30 days of the date of the determination made pursuant to rule </w:t>
      </w:r>
      <w:hyperlink r:id="rId209">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If a contested case proceeding is not initiated or is not initiated within the time provided in this rule, the allowed amount of the charge by the provider shall be the amount determined pursuant to rule </w:t>
      </w:r>
      <w:hyperlink r:id="rId210">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(17A,85,86).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evidence submitted in the contested case proceeding shall be limited to the evidence submitted pursuant to rule </w:t>
      </w:r>
      <w:hyperlink r:id="rId211">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and a copy of the determination made pursuant to rule </w:t>
      </w:r>
      <w:hyperlink r:id="rId212">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This evidence shall be filed by the party requesting the contested case proceeding at the time the contested case proceeding is initiated. However, the workers’ compensation commissioner may request that additional evidence be submitted or may grant submission of additional evidence if the commissioner is satisfied that there exists additional material evidence, newly discovered, which could not with reasonable diligence be discovered and produced pursuant to rule </w:t>
      </w:r>
      <w:hyperlink r:id="rId213">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The issues of the contested case proceeding shall be limited to the dispute considered in rule </w:t>
      </w:r>
      <w:hyperlink r:id="rId214">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(17A,85,86).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2506.64(4)</w:t>
      </w:r>
      <w:r>
        <w:rPr>
          <w:rFonts w:ascii="Times New Roman" w:hAnsi="Times New Roman"/>
          <w:b w:val="false"/>
          <w:i w:val="false"/>
          <w:color w:val="000000"/>
          <w:sz w:val="24"/>
        </w:rPr>
        <w:t> </w:t>
      </w:r>
      <w:r>
        <w:rPr>
          <w:rFonts w:ascii="Times New Roman" w:hAnsi="Times New Roman"/>
          <w:b w:val="false"/>
          <w:i w:val="false"/>
          <w:color w:val="000000"/>
          <w:sz w:val="24"/>
        </w:rPr>
        <w:t>The petitioning party has the burden of proof.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2506.64(5)</w:t>
      </w:r>
      <w:r>
        <w:rPr>
          <w:rFonts w:ascii="Times New Roman" w:hAnsi="Times New Roman"/>
          <w:b w:val="false"/>
          <w:i w:val="false"/>
          <w:color w:val="000000"/>
          <w:sz w:val="24"/>
        </w:rPr>
        <w:t> </w:t>
      </w:r>
      <w:r>
        <w:rPr>
          <w:rFonts w:ascii="Times New Roman" w:hAnsi="Times New Roman"/>
          <w:b w:val="false"/>
          <w:i w:val="false"/>
          <w:color w:val="000000"/>
          <w:sz w:val="24"/>
        </w:rPr>
        <w:t>If the petitioning party wishes to file a brief, the brief must be filed with the request for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2506.64(6)</w:t>
      </w:r>
      <w:r>
        <w:rPr>
          <w:rFonts w:ascii="Times New Roman" w:hAnsi="Times New Roman"/>
          <w:b w:val="false"/>
          <w:i w:val="false"/>
          <w:color w:val="000000"/>
          <w:sz w:val="24"/>
        </w:rPr>
        <w:t> </w:t>
      </w:r>
      <w:r>
        <w:rPr>
          <w:rFonts w:ascii="Times New Roman" w:hAnsi="Times New Roman"/>
          <w:b w:val="false"/>
          <w:i w:val="false"/>
          <w:color w:val="000000"/>
          <w:sz w:val="24"/>
        </w:rPr>
        <w:t>The opposing party must file a response within 30 days of the date of service of the request for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2506.64(7)</w:t>
      </w:r>
      <w:r>
        <w:rPr>
          <w:rFonts w:ascii="Times New Roman" w:hAnsi="Times New Roman"/>
          <w:b w:val="false"/>
          <w:i w:val="false"/>
          <w:color w:val="000000"/>
          <w:sz w:val="24"/>
        </w:rPr>
        <w:t> </w:t>
      </w:r>
      <w:r>
        <w:rPr>
          <w:rFonts w:ascii="Times New Roman" w:hAnsi="Times New Roman"/>
          <w:b w:val="false"/>
          <w:i w:val="false"/>
          <w:color w:val="000000"/>
          <w:sz w:val="24"/>
        </w:rPr>
        <w:t>If the opposing party wishes to file a brief, the brief must be filed with the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2506.64(8)</w:t>
      </w:r>
      <w:r>
        <w:rPr>
          <w:rFonts w:ascii="Times New Roman" w:hAnsi="Times New Roman"/>
          <w:b w:val="false"/>
          <w:i w:val="false"/>
          <w:color w:val="000000"/>
          <w:sz w:val="24"/>
        </w:rPr>
        <w:t> </w:t>
      </w:r>
      <w:r>
        <w:rPr>
          <w:rFonts w:ascii="Times New Roman" w:hAnsi="Times New Roman"/>
          <w:b w:val="false"/>
          <w:i w:val="false"/>
          <w:color w:val="000000"/>
          <w:sz w:val="24"/>
        </w:rPr>
        <w:t>Sixty days after the request for a contested case is filed with the commissioner, the commissioner will review the matter. The notice of the review to the parties shall meet the provisions of this rule and no other notice will be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2506.64(9)</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commissioner shall review the matter and make a decision as soon as practicable after the review. The decision shall be as provided in this chapter and Iowa Code chapter </w:t>
      </w:r>
      <w:hyperlink r:id="rId21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6">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17">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 xml:space="preserve">, </w:t>
      </w:r>
      <w:hyperlink r:id="rId218">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219">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220">
        <w:r>
          <w:rPr>
            <w:rStyle w:val="Hyperlink"/>
            <w:rFonts w:ascii="Times New Roman" w:hAnsi="Times New Roman"/>
            <w:b w:val="false"/>
            <w:i w:val="false"/>
            <w:color w:val="000000"/>
            <w:sz w:val="24"/>
          </w:rPr>
          <w:t>17A.14</w:t>
        </w:r>
      </w:hyperlink>
      <w:r>
        <w:rPr>
          <w:rFonts w:ascii="Times New Roman" w:hAnsi="Times New Roman"/>
          <w:b w:val="false"/>
          <w:i w:val="false"/>
          <w:color w:val="000000"/>
          <w:sz w:val="24"/>
        </w:rPr>
        <w:t xml:space="preserve">, and </w:t>
      </w:r>
      <w:hyperlink r:id="rId221">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876—2506.65</w:t>
      </w:r>
      <w:r>
        <w:rPr>
          <w:rFonts w:ascii="Times New Roman" w:hAnsi="Times New Roman"/>
          <w:b/>
          <w:i w:val="false"/>
          <w:color w:val="000000"/>
          <w:sz w:val="24"/>
        </w:rPr>
        <w:t xml:space="preserve">(10A,17A,85) </w:t>
      </w:r>
      <w:r>
        <w:rPr>
          <w:rFonts w:ascii="Times New Roman" w:hAnsi="Times New Roman"/>
          <w:b/>
          <w:i w:val="false"/>
          <w:color w:val="000000"/>
          <w:sz w:val="24"/>
        </w:rPr>
        <w:t xml:space="preserve">Application for alternate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this rule is to establish the procedures for issuing decisions on applications for alternate care within the time provided in Iowa Code section </w:t>
      </w:r>
      <w:hyperlink r:id="rId222">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for alternate care”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“application”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contested case proceeding filed with the workers’ compensation commissioner that requests alternate care pursuant to Iowa Code section </w:t>
      </w:r>
      <w:hyperlink r:id="rId223">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person or entity that is liable for payment of medical services provided pursuant to the Iowa workers’ compensation laws and includes an employer, an employer who has been relieved from insurance pursuant to Iowa Code section </w:t>
      </w:r>
      <w:hyperlink r:id="rId224">
        <w:r>
          <w:rPr>
            <w:rStyle w:val="Hyperlink"/>
            <w:rFonts w:ascii="Times New Roman" w:hAnsi="Times New Roman"/>
            <w:b w:val="false"/>
            <w:i w:val="false"/>
            <w:color w:val="000000"/>
            <w:sz w:val="24"/>
          </w:rPr>
          <w:t>87.11</w:t>
        </w:r>
      </w:hyperlink>
      <w:r>
        <w:rPr>
          <w:rFonts w:ascii="Times New Roman" w:hAnsi="Times New Roman"/>
          <w:b w:val="false"/>
          <w:i w:val="false"/>
          <w:color w:val="000000"/>
          <w:sz w:val="24"/>
        </w:rPr>
        <w:t>, and an insurance carrier that provides an employer with workers’ compensation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“Proper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for alternate care that complies with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2506.65(3)</w:t>
      </w:r>
      <w:r>
        <w:rPr>
          <w:rFonts w:ascii="Times New Roman" w:hAnsi="Times New Roman"/>
          <w:b w:val="false"/>
          <w:i w:val="false"/>
          <w:color w:val="000000"/>
          <w:sz w:val="24"/>
        </w:rPr>
        <w:t> </w:t>
      </w:r>
      <w:r>
        <w:rPr>
          <w:rFonts w:ascii="Times New Roman" w:hAnsi="Times New Roman"/>
          <w:b w:val="false"/>
          <w:i/>
          <w:color w:val="000000"/>
          <w:sz w:val="24"/>
        </w:rPr>
        <w:t xml:space="preserve">Dissatisfaction—basis. </w:t>
      </w:r>
      <w:r>
        <w:rPr>
          <w:rFonts w:ascii="Times New Roman" w:hAnsi="Times New Roman"/>
          <w:b w:val="false"/>
          <w:i w:val="false"/>
          <w:color w:val="000000"/>
          <w:sz w:val="24"/>
        </w:rPr>
        <w:t>Prior to filing the application, the employee must communicate the basis of dissatisfaction of the care to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2506.65(4)</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filed on the form provided by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Concern only the issue of alternate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State the reasons for the employee’s dissatisfaction with the care chosen by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served on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Contain proof of service on the employer;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Specify whether a telephone or in-person hearing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2506.65(5)</w:t>
      </w:r>
      <w:r>
        <w:rPr>
          <w:rFonts w:ascii="Times New Roman" w:hAnsi="Times New Roman"/>
          <w:b w:val="false"/>
          <w:i w:val="false"/>
          <w:color w:val="000000"/>
          <w:sz w:val="24"/>
        </w:rPr>
        <w:t> </w:t>
      </w:r>
      <w:r>
        <w:rPr>
          <w:rFonts w:ascii="Times New Roman" w:hAnsi="Times New Roman"/>
          <w:b w:val="false"/>
          <w:i/>
          <w:color w:val="000000"/>
          <w:sz w:val="24"/>
        </w:rPr>
        <w:t xml:space="preserve">Fee. </w:t>
      </w:r>
      <w:r>
        <w:rPr>
          <w:rFonts w:ascii="Times New Roman" w:hAnsi="Times New Roman"/>
          <w:b w:val="false"/>
          <w:i w:val="false"/>
          <w:color w:val="000000"/>
          <w:sz w:val="24"/>
        </w:rPr>
        <w:t xml:space="preserve">No filing fee is due. More information can be found in paragraph </w:t>
      </w:r>
      <w:hyperlink r:id="rId225">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2506.65(6)</w:t>
      </w:r>
      <w:r>
        <w:rPr>
          <w:rFonts w:ascii="Times New Roman" w:hAnsi="Times New Roman"/>
          <w:b w:val="false"/>
          <w:i w:val="false"/>
          <w:color w:val="000000"/>
          <w:sz w:val="24"/>
        </w:rPr>
        <w:t> </w:t>
      </w:r>
      <w:r>
        <w:rPr>
          <w:rFonts w:ascii="Times New Roman" w:hAnsi="Times New Roman"/>
          <w:b w:val="false"/>
          <w:i/>
          <w:color w:val="000000"/>
          <w:sz w:val="24"/>
        </w:rPr>
        <w:t xml:space="preserve">Employer liability. </w:t>
      </w:r>
      <w:r>
        <w:rPr>
          <w:rFonts w:ascii="Times New Roman" w:hAnsi="Times New Roman"/>
          <w:b w:val="false"/>
          <w:i w:val="false"/>
          <w:color w:val="000000"/>
          <w:sz w:val="24"/>
        </w:rPr>
        <w:t xml:space="preserve">Application cannot be filed under this rule if the liability of the employer is an issue. If an application is filed where the liability of the employer is an issue, the application will be dismissed without prejudice. (Petitions for alternate care where liability of the employer is an issue should be filed pursuant to subrule </w:t>
      </w:r>
      <w:hyperlink r:id="rId226">
        <w:r>
          <w:rPr>
            <w:rStyle w:val="Hyperlink"/>
            <w:rFonts w:ascii="Times New Roman" w:hAnsi="Times New Roman"/>
            <w:b w:val="false"/>
            <w:i w:val="false"/>
            <w:color w:val="000000"/>
            <w:sz w:val="24"/>
          </w:rPr>
          <w:t>2506.32(3)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2506.65(7)</w:t>
      </w:r>
      <w:r>
        <w:rPr>
          <w:rFonts w:ascii="Times New Roman" w:hAnsi="Times New Roman"/>
          <w:b w:val="false"/>
          <w:i w:val="false"/>
          <w:color w:val="000000"/>
          <w:sz w:val="24"/>
        </w:rPr>
        <w:t> </w:t>
      </w:r>
      <w:r>
        <w:rPr>
          <w:rFonts w:ascii="Times New Roman" w:hAnsi="Times New Roman"/>
          <w:b w:val="false"/>
          <w:i/>
          <w:color w:val="000000"/>
          <w:sz w:val="24"/>
        </w:rPr>
        <w:t xml:space="preserve">Notice of hearing. </w:t>
      </w:r>
      <w:r>
        <w:rPr>
          <w:rFonts w:ascii="Times New Roman" w:hAnsi="Times New Roman"/>
          <w:b w:val="false"/>
          <w:i w:val="false"/>
          <w:color w:val="000000"/>
          <w:sz w:val="24"/>
        </w:rPr>
        <w:t>The commissioner will notify the parties by ordinary mail, by facsimile transmission (fax), by electronic mail (email), or by WCES of the time, place and nature of the hearing. No notice will be made until a proper application is received by the commissioner. The notice will specify whether the hearing will be by telephone, in person or by digital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2506.65(8)</w:t>
      </w:r>
      <w:r>
        <w:rPr>
          <w:rFonts w:ascii="Times New Roman" w:hAnsi="Times New Roman"/>
          <w:b w:val="false"/>
          <w:i w:val="false"/>
          <w:color w:val="000000"/>
          <w:sz w:val="24"/>
        </w:rPr>
        <w:t> </w:t>
      </w:r>
      <w:r>
        <w:rPr>
          <w:rFonts w:ascii="Times New Roman" w:hAnsi="Times New Roman"/>
          <w:b w:val="false"/>
          <w:i/>
          <w:color w:val="000000"/>
          <w:sz w:val="24"/>
        </w:rPr>
        <w:t xml:space="preserve">Appearance or answer. </w:t>
      </w:r>
      <w:r>
        <w:rPr>
          <w:rFonts w:ascii="Times New Roman" w:hAnsi="Times New Roman"/>
          <w:b w:val="false"/>
          <w:i w:val="false"/>
          <w:color w:val="000000"/>
          <w:sz w:val="24"/>
        </w:rPr>
        <w:t>After being served with an application for alternate care, the employer shall file an appearance of answer as soon as practicable before the time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2506.65(9)</w:t>
      </w:r>
      <w:r>
        <w:rPr>
          <w:rFonts w:ascii="Times New Roman" w:hAnsi="Times New Roman"/>
          <w:b w:val="false"/>
          <w:i w:val="false"/>
          <w:color w:val="000000"/>
          <w:sz w:val="24"/>
        </w:rPr>
        <w:t> </w:t>
      </w:r>
      <w:r>
        <w:rPr>
          <w:rFonts w:ascii="Times New Roman" w:hAnsi="Times New Roman"/>
          <w:b w:val="false"/>
          <w:i/>
          <w:color w:val="000000"/>
          <w:sz w:val="24"/>
        </w:rPr>
        <w:t xml:space="preserve">Discovery and evidence. </w:t>
      </w:r>
      <w:r>
        <w:rPr>
          <w:rFonts w:ascii="Times New Roman" w:hAnsi="Times New Roman"/>
          <w:b w:val="false"/>
          <w:i w:val="false"/>
          <w:color w:val="000000"/>
          <w:sz w:val="24"/>
        </w:rPr>
        <w:t>All discovery must be completed prior to the contested case hearing. Any written evidence to be used by the employer or the employee must be exchanged prior to the hearing. All written evidence must be filed with the agency before the date of the hearing. Written evidence shall be limited to ten pages per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2506.65(10)</w:t>
      </w:r>
      <w:r>
        <w:rPr>
          <w:rFonts w:ascii="Times New Roman" w:hAnsi="Times New Roman"/>
          <w:b w:val="false"/>
          <w:i w:val="false"/>
          <w:color w:val="000000"/>
          <w:sz w:val="24"/>
        </w:rPr>
        <w:t> </w:t>
      </w:r>
      <w:r>
        <w:rPr>
          <w:rFonts w:ascii="Times New Roman" w:hAnsi="Times New Roman"/>
          <w:b w:val="false"/>
          <w:i/>
          <w:color w:val="000000"/>
          <w:sz w:val="24"/>
        </w:rPr>
        <w:t xml:space="preserve">Motions. </w:t>
      </w:r>
      <w:r>
        <w:rPr>
          <w:rFonts w:ascii="Times New Roman" w:hAnsi="Times New Roman"/>
          <w:b w:val="false"/>
          <w:i w:val="false"/>
          <w:color w:val="000000"/>
          <w:sz w:val="24"/>
        </w:rPr>
        <w:t>All motions except as provided in this subrule will be considered at the hearing. A timely motion to change the type of hearing (telephone or in-person) may be considered prior to the hearing. The commissioner will make no rulings on discovery matters or motions.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2506.65(11)</w:t>
      </w:r>
      <w:r>
        <w:rPr>
          <w:rFonts w:ascii="Times New Roman" w:hAnsi="Times New Roman"/>
          <w:b w:val="false"/>
          <w:i w:val="false"/>
          <w:color w:val="000000"/>
          <w:sz w:val="24"/>
        </w:rPr>
        <w:t> </w:t>
      </w:r>
      <w:r>
        <w:rPr>
          <w:rFonts w:ascii="Times New Roman" w:hAnsi="Times New Roman"/>
          <w:b w:val="false"/>
          <w:i/>
          <w:color w:val="000000"/>
          <w:sz w:val="24"/>
        </w:rPr>
        <w:t xml:space="preserve">Briefs. </w:t>
      </w:r>
      <w:r>
        <w:rPr>
          <w:rFonts w:ascii="Times New Roman" w:hAnsi="Times New Roman"/>
          <w:b w:val="false"/>
          <w:i w:val="false"/>
          <w:color w:val="000000"/>
          <w:sz w:val="24"/>
        </w:rPr>
        <w:t>Hearing briefs, if any, must be filed with the agency before the date of the hearing and shall be limited to three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2506.65(12)</w:t>
      </w:r>
      <w:r>
        <w:rPr>
          <w:rFonts w:ascii="Times New Roman" w:hAnsi="Times New Roman"/>
          <w:b w:val="false"/>
          <w:i w:val="false"/>
          <w:color w:val="000000"/>
          <w:sz w:val="24"/>
        </w:rPr>
        <w:t> </w:t>
      </w:r>
      <w:r>
        <w:rPr>
          <w:rFonts w:ascii="Times New Roman" w:hAnsi="Times New Roman"/>
          <w:b w:val="false"/>
          <w:i/>
          <w:color w:val="000000"/>
          <w:sz w:val="24"/>
        </w:rPr>
        <w:t xml:space="preserve">Hearing. </w:t>
      </w:r>
      <w:r>
        <w:rPr>
          <w:rFonts w:ascii="Times New Roman" w:hAnsi="Times New Roman"/>
          <w:b w:val="false"/>
          <w:i w:val="false"/>
          <w:color w:val="000000"/>
          <w:sz w:val="24"/>
        </w:rPr>
        <w:t>The hearing will be held by telephone, by digital means or in person in Des Moines, Iowa. The employer shall have the right to request an in-person hearing if the employee has requested a telephone hearing in the application. The employer shall on the record respond to the allegations contained in the application. The hearing will be electronically recorded. If there is an appeal of a proposed decision or judicial review of final agency action, the appealing party is responsible for filing a transcript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2506.65(13)</w:t>
      </w:r>
      <w:r>
        <w:rPr>
          <w:rFonts w:ascii="Times New Roman" w:hAnsi="Times New Roman"/>
          <w:b w:val="false"/>
          <w:i w:val="false"/>
          <w:color w:val="000000"/>
          <w:sz w:val="24"/>
        </w:rPr>
        <w:t> </w:t>
      </w:r>
      <w:r>
        <w:rPr>
          <w:rFonts w:ascii="Times New Roman" w:hAnsi="Times New Roman"/>
          <w:b w:val="false"/>
          <w:i/>
          <w:color w:val="000000"/>
          <w:sz w:val="24"/>
        </w:rPr>
        <w:t xml:space="preserve">Transcripts. </w:t>
      </w:r>
      <w:r>
        <w:rPr>
          <w:rFonts w:ascii="Times New Roman" w:hAnsi="Times New Roman"/>
          <w:b w:val="false"/>
          <w:i w:val="false"/>
          <w:color w:val="000000"/>
          <w:sz w:val="24"/>
        </w:rPr>
        <w:t xml:space="preserve">Copies of the recording will be provided to the parties upon notice of appeal. A transcript shall be provided by the appealing party pursuant to Iowa Code section </w:t>
      </w:r>
      <w:hyperlink r:id="rId227">
        <w:r>
          <w:rPr>
            <w:rStyle w:val="Hyperlink"/>
            <w:rFonts w:ascii="Times New Roman" w:hAnsi="Times New Roman"/>
            <w:b w:val="false"/>
            <w:i w:val="false"/>
            <w:color w:val="000000"/>
            <w:sz w:val="24"/>
          </w:rPr>
          <w:t>10A.321(4)</w:t>
        </w:r>
      </w:hyperlink>
      <w:r>
        <w:rPr>
          <w:rFonts w:ascii="Times New Roman" w:hAnsi="Times New Roman"/>
          <w:b w:val="false"/>
          <w:i w:val="false"/>
          <w:color w:val="000000"/>
          <w:sz w:val="24"/>
        </w:rPr>
        <w:t xml:space="preserve">, and a copy thereof shall be served on the opposing party at the time the transcript is filed with the commissioner unless the parties submit an agreed-upon transcript. If a party disputes the accuracy of any transcript prepared by the opposing party, that party shall submit its contentions to the commissioner for resolution. Any transcription charges incurred by the commissioner in resolving the dispute shall be initially paid pursuant to Iowa Code section </w:t>
      </w:r>
      <w:hyperlink r:id="rId228">
        <w:r>
          <w:rPr>
            <w:rStyle w:val="Hyperlink"/>
            <w:rFonts w:ascii="Times New Roman" w:hAnsi="Times New Roman"/>
            <w:b w:val="false"/>
            <w:i w:val="false"/>
            <w:color w:val="000000"/>
            <w:sz w:val="24"/>
          </w:rPr>
          <w:t>10A.320(1)</w:t>
        </w:r>
      </w:hyperlink>
      <w:r>
        <w:rPr>
          <w:rFonts w:ascii="Times New Roman" w:hAnsi="Times New Roman"/>
          <w:b w:val="false"/>
          <w:i w:val="false"/>
          <w:color w:val="000000"/>
          <w:sz w:val="24"/>
        </w:rPr>
        <w:t xml:space="preserve"> by the party that disputes the accuracy of the transcript prepared by the 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2506.65(14)</w:t>
      </w:r>
      <w:r>
        <w:rPr>
          <w:rFonts w:ascii="Times New Roman" w:hAnsi="Times New Roman"/>
          <w:b w:val="false"/>
          <w:i w:val="false"/>
          <w:color w:val="000000"/>
          <w:sz w:val="24"/>
        </w:rPr>
        <w:t> </w:t>
      </w:r>
      <w:r>
        <w:rPr>
          <w:rFonts w:ascii="Times New Roman" w:hAnsi="Times New Roman"/>
          <w:b w:val="false"/>
          <w:i/>
          <w:color w:val="000000"/>
          <w:sz w:val="24"/>
        </w:rPr>
        <w:t xml:space="preserve">Represented party. </w:t>
      </w:r>
      <w:r>
        <w:rPr>
          <w:rFonts w:ascii="Times New Roman" w:hAnsi="Times New Roman"/>
          <w:b w:val="false"/>
          <w:i w:val="false"/>
          <w:color w:val="000000"/>
          <w:sz w:val="24"/>
        </w:rPr>
        <w:t xml:space="preserve">A party may be represented as provided in Iowa Code section </w:t>
      </w:r>
      <w:hyperlink r:id="rId229">
        <w:r>
          <w:rPr>
            <w:rStyle w:val="Hyperlink"/>
            <w:rFonts w:ascii="Times New Roman" w:hAnsi="Times New Roman"/>
            <w:b w:val="false"/>
            <w:i w:val="false"/>
            <w:color w:val="000000"/>
            <w:sz w:val="24"/>
          </w:rPr>
          <w:t>631.14</w:t>
        </w:r>
      </w:hyperlink>
      <w:r>
        <w:rPr>
          <w:rFonts w:ascii="Times New Roman" w:hAnsi="Times New Roman"/>
          <w:b w:val="false"/>
          <w:i w:val="false"/>
          <w:color w:val="000000"/>
          <w:sz w:val="24"/>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2506.65(15)</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A decision will be issued within 10 working days of receipt of a proper application when a telephone hearing is held or within 14 working days of receipt of a proper application when an in-person hearing is held.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0">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31">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w:t>
      </w:r>
      <w:hyperlink r:id="rId23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33">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876—2506.66</w:t>
      </w:r>
      <w:r>
        <w:rPr>
          <w:rFonts w:ascii="Times New Roman" w:hAnsi="Times New Roman"/>
          <w:b/>
          <w:i w:val="false"/>
          <w:color w:val="000000"/>
          <w:sz w:val="24"/>
        </w:rPr>
        <w:t xml:space="preserve">(10A,17A,85) </w:t>
      </w:r>
      <w:r>
        <w:rPr>
          <w:rFonts w:ascii="Times New Roman" w:hAnsi="Times New Roman"/>
          <w:b/>
          <w:i w:val="false"/>
          <w:color w:val="000000"/>
          <w:sz w:val="24"/>
        </w:rPr>
        <w:t xml:space="preserve">Method of holding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2506.66(1)</w:t>
      </w:r>
      <w:r>
        <w:rPr>
          <w:rFonts w:ascii="Times New Roman" w:hAnsi="Times New Roman"/>
          <w:b w:val="false"/>
          <w:i w:val="false"/>
          <w:color w:val="000000"/>
          <w:sz w:val="24"/>
        </w:rPr>
        <w:t> </w:t>
      </w:r>
      <w:r>
        <w:rPr>
          <w:rFonts w:ascii="Times New Roman" w:hAnsi="Times New Roman"/>
          <w:b w:val="false"/>
          <w:i w:val="false"/>
          <w:color w:val="000000"/>
          <w:sz w:val="24"/>
        </w:rPr>
        <w:t>Any hearing held under this chapter may be by voice or video technology, including but not limited to internet-based video.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2506.66(2)</w:t>
      </w:r>
      <w:r>
        <w:rPr>
          <w:rFonts w:ascii="Times New Roman" w:hAnsi="Times New Roman"/>
          <w:b w:val="false"/>
          <w:i w:val="false"/>
          <w:color w:val="000000"/>
          <w:sz w:val="24"/>
        </w:rPr>
        <w:t> </w:t>
      </w:r>
      <w:r>
        <w:rPr>
          <w:rFonts w:ascii="Times New Roman" w:hAnsi="Times New Roman"/>
          <w:b w:val="false"/>
          <w:i w:val="false"/>
          <w:color w:val="000000"/>
          <w:sz w:val="24"/>
        </w:rPr>
        <w:t xml:space="preserve">A hearing shall not be held in proceedings under subrules </w:t>
      </w:r>
      <w:hyperlink r:id="rId234">
        <w:r>
          <w:rPr>
            <w:rStyle w:val="Hyperlink"/>
            <w:rFonts w:ascii="Times New Roman" w:hAnsi="Times New Roman"/>
            <w:b w:val="false"/>
            <w:i w:val="false"/>
            <w:color w:val="000000"/>
            <w:sz w:val="24"/>
          </w:rPr>
          <w:t>2506.32(8)</w:t>
        </w:r>
      </w:hyperlink>
      <w:r>
        <w:rPr>
          <w:rFonts w:ascii="Times New Roman" w:hAnsi="Times New Roman"/>
          <w:b w:val="false"/>
          <w:i w:val="false"/>
          <w:color w:val="000000"/>
          <w:sz w:val="24"/>
        </w:rPr>
        <w:t xml:space="preserve"> through </w:t>
      </w:r>
      <w:hyperlink r:id="rId235">
        <w:r>
          <w:rPr>
            <w:rStyle w:val="Hyperlink"/>
            <w:rFonts w:ascii="Times New Roman" w:hAnsi="Times New Roman"/>
            <w:b w:val="false"/>
            <w:i w:val="false"/>
            <w:color w:val="000000"/>
            <w:sz w:val="24"/>
          </w:rPr>
          <w:t>2506.32(12)</w:t>
        </w:r>
      </w:hyperlink>
      <w:r>
        <w:rPr>
          <w:rFonts w:ascii="Times New Roman" w:hAnsi="Times New Roman"/>
          <w:b w:val="false"/>
          <w:i w:val="false"/>
          <w:color w:val="000000"/>
          <w:sz w:val="24"/>
        </w:rPr>
        <w:t xml:space="preserve"> unless otherwise ordered or requested in writing by the petitioner in the original notice and petition or by the respondent within ten days following the time allowed by these rules for appearance.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6">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37">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w:t>
      </w:r>
      <w:hyperlink r:id="rId238">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w:t>
      </w:r>
      <w:hyperlink r:id="rId239">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40">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876—2506.67</w:t>
      </w:r>
      <w:r>
        <w:rPr>
          <w:rFonts w:ascii="Times New Roman" w:hAnsi="Times New Roman"/>
          <w:b/>
          <w:i w:val="false"/>
          <w:color w:val="000000"/>
          <w:sz w:val="24"/>
        </w:rPr>
        <w:t xml:space="preserve">(10A,17A,85) </w:t>
      </w:r>
      <w:r>
        <w:rPr>
          <w:rFonts w:ascii="Times New Roman" w:hAnsi="Times New Roman"/>
          <w:b/>
          <w:i w:val="false"/>
          <w:color w:val="000000"/>
          <w:sz w:val="24"/>
        </w:rPr>
        <w:t xml:space="preserve">Vocational training, education, and supplies.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this rule is to establish the procedures for issuing decisions on applications for vocational training, education, and supplies provided for in Iowa Code section </w:t>
      </w:r>
      <w:hyperlink r:id="rId241">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for vocational training and education hearing”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“application”</w:t>
      </w:r>
      <w:r>
        <w:rPr>
          <w:rFonts w:ascii="Times New Roman" w:hAnsi="Times New Roman"/>
          <w:b w:val="false"/>
          <w:i/>
          <w:color w:val="000000"/>
          <w:sz w:val="24"/>
          <w:u w:val="single"/>
        </w:rPr>
        <w:t> </w:t>
      </w:r>
      <w:r>
        <w:rPr>
          <w:rFonts w:ascii="Times New Roman" w:hAnsi="Times New Roman"/>
          <w:b w:val="false"/>
          <w:i w:val="false"/>
          <w:color w:val="000000"/>
          <w:sz w:val="24"/>
        </w:rPr>
        <w:t>means a contested case proceeding filed with the division of workers’ compensation contesting the results of an evaluation and determination or contesting or requesting the termination of a vocational training and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“Evaluation and determination”</w:t>
      </w:r>
      <w:r>
        <w:rPr>
          <w:rFonts w:ascii="Times New Roman" w:hAnsi="Times New Roman"/>
          <w:b w:val="false"/>
          <w:i/>
          <w:color w:val="000000"/>
          <w:sz w:val="24"/>
          <w:u w:val="single"/>
        </w:rPr>
        <w:t> </w:t>
      </w:r>
      <w:r>
        <w:rPr>
          <w:rFonts w:ascii="Times New Roman" w:hAnsi="Times New Roman"/>
          <w:b w:val="false"/>
          <w:i w:val="false"/>
          <w:color w:val="000000"/>
          <w:sz w:val="24"/>
        </w:rPr>
        <w:t>means an assessment conducted by the department of workforce development to determine if the employee would benefit from a vocational training and education program offered through an area community college to allow the employee to return to the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“Request for vocational training and education”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“request”</w:t>
      </w:r>
      <w:r>
        <w:rPr>
          <w:rFonts w:ascii="Times New Roman" w:hAnsi="Times New Roman"/>
          <w:b w:val="false"/>
          <w:i/>
          <w:color w:val="000000"/>
          <w:sz w:val="24"/>
          <w:u w:val="single"/>
        </w:rPr>
        <w:t> </w:t>
      </w:r>
      <w:r>
        <w:rPr>
          <w:rFonts w:ascii="Times New Roman" w:hAnsi="Times New Roman"/>
          <w:b w:val="false"/>
          <w:i w:val="false"/>
          <w:color w:val="000000"/>
          <w:sz w:val="24"/>
        </w:rPr>
        <w:t>means a written request for an evaluation and determination of whether an employee is entitled to vocational training, education,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“Vocational training and education”</w:t>
      </w:r>
      <w:r>
        <w:rPr>
          <w:rFonts w:ascii="Times New Roman" w:hAnsi="Times New Roman"/>
          <w:b w:val="false"/>
          <w:i/>
          <w:color w:val="000000"/>
          <w:sz w:val="24"/>
          <w:u w:val="single"/>
        </w:rPr>
        <w:t> </w:t>
      </w:r>
      <w:r>
        <w:rPr>
          <w:rFonts w:ascii="Times New Roman" w:hAnsi="Times New Roman"/>
          <w:b w:val="false"/>
          <w:i w:val="false"/>
          <w:color w:val="000000"/>
          <w:sz w:val="24"/>
        </w:rPr>
        <w:t>shall include general educational development programs for employees who have not graduated from high school or obtained a general education diploma, and career and technical education programs that provide instruction in the areas of agriculture, family and consumer sciences, health occupations, business, industrial technology, and marketing offered through an area community college that will allow the employee to return to the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vocational training and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Only concern the issue of vocational training, education,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filed on the form provided by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State the reasons for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served on the other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Contain a proof of service on the other party;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Specify whether a telephone or in-person hearing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vocational training and education must be filed in WCES unless a party has been granted a waiver of the mandatory use of WCES, in which case the party shall file the application for vocational training and education with the division of workers’ compensation. Applicant(s) must serve a copy of this form on an appellee(s) by certified mail, return receipt requested, or by personal service as in civil actions in accordance with rule </w:t>
      </w:r>
      <w:hyperlink r:id="rId242">
        <w:r>
          <w:rPr>
            <w:rStyle w:val="Hyperlink"/>
            <w:rFonts w:ascii="Times New Roman" w:hAnsi="Times New Roman"/>
            <w:b w:val="false"/>
            <w:i w:val="false"/>
            <w:color w:val="000000"/>
            <w:sz w:val="24"/>
          </w:rPr>
          <w:t>876—2506.37</w:t>
        </w:r>
      </w:hyperlink>
      <w:r>
        <w:rPr>
          <w:rFonts w:ascii="Times New Roman" w:hAnsi="Times New Roman"/>
          <w:b w:val="false"/>
          <w:i w:val="false"/>
          <w:color w:val="000000"/>
          <w:sz w:val="24"/>
        </w:rPr>
        <w:t xml:space="preserve">(17A,85) and mail a copy to the attorney of record for the appellee(s), if known, in accordance with rule </w:t>
      </w:r>
      <w:hyperlink r:id="rId243">
        <w:r>
          <w:rPr>
            <w:rStyle w:val="Hyperlink"/>
            <w:rFonts w:ascii="Times New Roman" w:hAnsi="Times New Roman"/>
            <w:b w:val="false"/>
            <w:i w:val="false"/>
            <w:color w:val="000000"/>
            <w:sz w:val="24"/>
          </w:rPr>
          <w:t>876—2506.43</w:t>
        </w:r>
      </w:hyperlink>
      <w:r>
        <w:rPr>
          <w:rFonts w:ascii="Times New Roman" w:hAnsi="Times New Roman"/>
          <w:b w:val="false"/>
          <w:i w:val="false"/>
          <w:color w:val="000000"/>
          <w:sz w:val="24"/>
        </w:rPr>
        <w:t>(10A,17A).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2506.67(4)</w:t>
      </w:r>
      <w:r>
        <w:rPr>
          <w:rFonts w:ascii="Times New Roman" w:hAnsi="Times New Roman"/>
          <w:b w:val="false"/>
          <w:i w:val="false"/>
          <w:color w:val="000000"/>
          <w:sz w:val="24"/>
        </w:rPr>
        <w:t> </w:t>
      </w:r>
      <w:r>
        <w:rPr>
          <w:rFonts w:ascii="Times New Roman" w:hAnsi="Times New Roman"/>
          <w:b w:val="false"/>
          <w:i/>
          <w:color w:val="000000"/>
          <w:sz w:val="24"/>
        </w:rPr>
        <w:t xml:space="preserve">Fee. </w:t>
      </w:r>
      <w:r>
        <w:rPr>
          <w:rFonts w:ascii="Times New Roman" w:hAnsi="Times New Roman"/>
          <w:b w:val="false"/>
          <w:i w:val="false"/>
          <w:color w:val="000000"/>
          <w:sz w:val="24"/>
        </w:rPr>
        <w:t xml:space="preserve">No filing fee is due. More information can be found in paragraph </w:t>
      </w:r>
      <w:hyperlink r:id="rId244">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2506.67(5)</w:t>
      </w:r>
      <w:r>
        <w:rPr>
          <w:rFonts w:ascii="Times New Roman" w:hAnsi="Times New Roman"/>
          <w:b w:val="false"/>
          <w:i w:val="false"/>
          <w:color w:val="000000"/>
          <w:sz w:val="24"/>
        </w:rPr>
        <w:t> </w:t>
      </w:r>
      <w:r>
        <w:rPr>
          <w:rFonts w:ascii="Times New Roman" w:hAnsi="Times New Roman"/>
          <w:b w:val="false"/>
          <w:i/>
          <w:color w:val="000000"/>
          <w:sz w:val="24"/>
        </w:rPr>
        <w:t xml:space="preserve">Request for vocational education and training. </w:t>
      </w:r>
      <w:r>
        <w:rPr>
          <w:rFonts w:ascii="Times New Roman" w:hAnsi="Times New Roman"/>
          <w:b w:val="false"/>
          <w:i w:val="false"/>
          <w:color w:val="000000"/>
          <w:sz w:val="24"/>
        </w:rPr>
        <w:t>Prior to filing an application, the employee shall complete a request on a form supplied by the department of workforce development and submit the completed form to the department of workforce development asking for an evaluation and determination. The employee, employer, or insurance carrier may contest the results of the evaluation and determination by filing an application with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2506.67(6)</w:t>
      </w:r>
      <w:r>
        <w:rPr>
          <w:rFonts w:ascii="Times New Roman" w:hAnsi="Times New Roman"/>
          <w:b w:val="false"/>
          <w:i w:val="false"/>
          <w:color w:val="000000"/>
          <w:sz w:val="24"/>
        </w:rPr>
        <w:t> </w:t>
      </w:r>
      <w:r>
        <w:rPr>
          <w:rFonts w:ascii="Times New Roman" w:hAnsi="Times New Roman"/>
          <w:b w:val="false"/>
          <w:i/>
          <w:color w:val="000000"/>
          <w:sz w:val="24"/>
        </w:rPr>
        <w:t xml:space="preserve">Proper application. </w:t>
      </w:r>
      <w:r>
        <w:rPr>
          <w:rFonts w:ascii="Times New Roman" w:hAnsi="Times New Roman"/>
          <w:b w:val="false"/>
          <w:i w:val="false"/>
          <w:color w:val="000000"/>
          <w:sz w:val="24"/>
        </w:rPr>
        <w:t>An application cannot be filed under this rule until: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evaluation and determination has been made by the department of workforce development;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has been a finding by the division of workers’ compensation or the employer or the employer’s insurance carrier or both and the employee agrees that the employee has sustained an injury to the shoulder resulting in a permanent partial disability for which compensation is payable under Iowa Code section </w:t>
      </w:r>
      <w:hyperlink r:id="rId245">
        <w:r>
          <w:rPr>
            <w:rStyle w:val="Hyperlink"/>
            <w:rFonts w:ascii="Times New Roman" w:hAnsi="Times New Roman"/>
            <w:b w:val="false"/>
            <w:i w:val="false"/>
            <w:color w:val="000000"/>
            <w:sz w:val="24"/>
          </w:rPr>
          <w:t>85.34(2)</w:t>
        </w:r>
      </w:hyperlink>
      <w:r>
        <w:rPr>
          <w:rFonts w:ascii="Times New Roman" w:hAnsi="Times New Roman"/>
          <w:b w:val="false"/>
          <w:i/>
          <w:color w:val="000000"/>
          <w:sz w:val="24"/>
        </w:rPr>
        <w:t>“n”</w:t>
      </w:r>
      <w:r>
        <w:rPr>
          <w:rFonts w:ascii="Times New Roman" w:hAnsi="Times New Roman"/>
          <w:b w:val="false"/>
          <w:i w:val="false"/>
          <w:color w:val="000000"/>
          <w:sz w:val="24"/>
        </w:rPr>
        <w:t xml:space="preserve"> and the employee cannot return to gainful employment because of such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2506.67(7)</w:t>
      </w:r>
      <w:r>
        <w:rPr>
          <w:rFonts w:ascii="Times New Roman" w:hAnsi="Times New Roman"/>
          <w:b w:val="false"/>
          <w:i w:val="false"/>
          <w:color w:val="000000"/>
          <w:sz w:val="24"/>
        </w:rPr>
        <w:t> </w:t>
      </w:r>
      <w:r>
        <w:rPr>
          <w:rFonts w:ascii="Times New Roman" w:hAnsi="Times New Roman"/>
          <w:b w:val="false"/>
          <w:i/>
          <w:color w:val="000000"/>
          <w:sz w:val="24"/>
        </w:rPr>
        <w:t xml:space="preserve">Notice of hearing. </w:t>
      </w:r>
      <w:r>
        <w:rPr>
          <w:rFonts w:ascii="Times New Roman" w:hAnsi="Times New Roman"/>
          <w:b w:val="false"/>
          <w:i w:val="false"/>
          <w:color w:val="000000"/>
          <w:sz w:val="24"/>
        </w:rPr>
        <w:t>The workers’ compensation commissioner shall notify the parties by email, ordinary mail, fax, or WCES of the time, place, and nature of the hearing. No notice will be made until a proper application is received by the commissioner. The notice shall specify whether the hearing will be held by telephone, in person, or by digital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2506.67(8)</w:t>
      </w:r>
      <w:r>
        <w:rPr>
          <w:rFonts w:ascii="Times New Roman" w:hAnsi="Times New Roman"/>
          <w:b w:val="false"/>
          <w:i w:val="false"/>
          <w:color w:val="000000"/>
          <w:sz w:val="24"/>
        </w:rPr>
        <w:t> </w:t>
      </w:r>
      <w:r>
        <w:rPr>
          <w:rFonts w:ascii="Times New Roman" w:hAnsi="Times New Roman"/>
          <w:b w:val="false"/>
          <w:i/>
          <w:color w:val="000000"/>
          <w:sz w:val="24"/>
        </w:rPr>
        <w:t xml:space="preserve">Evidence. </w:t>
      </w:r>
      <w:r>
        <w:rPr>
          <w:rFonts w:ascii="Times New Roman" w:hAnsi="Times New Roman"/>
          <w:b w:val="false"/>
          <w:i w:val="false"/>
          <w:color w:val="000000"/>
          <w:sz w:val="24"/>
        </w:rPr>
        <w:t>Any written evidence to be used by the employer, the employer’s insurance carrier, or the employee must be exchanged prior to the hearing. All written evidence must be filed with the agency before the date of hearing. Written evidence shall be limited to 50 pages per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2506.67(9)</w:t>
      </w:r>
      <w:r>
        <w:rPr>
          <w:rFonts w:ascii="Times New Roman" w:hAnsi="Times New Roman"/>
          <w:b w:val="false"/>
          <w:i w:val="false"/>
          <w:color w:val="000000"/>
          <w:sz w:val="24"/>
        </w:rPr>
        <w:t> </w:t>
      </w:r>
      <w:r>
        <w:rPr>
          <w:rFonts w:ascii="Times New Roman" w:hAnsi="Times New Roman"/>
          <w:b w:val="false"/>
          <w:i/>
          <w:color w:val="000000"/>
          <w:sz w:val="24"/>
        </w:rPr>
        <w:t xml:space="preserve">Motion to change hearing type. </w:t>
      </w:r>
      <w:r>
        <w:rPr>
          <w:rFonts w:ascii="Times New Roman" w:hAnsi="Times New Roman"/>
          <w:b w:val="false"/>
          <w:i w:val="false"/>
          <w:color w:val="000000"/>
          <w:sz w:val="24"/>
        </w:rPr>
        <w:t>A timely motion to change the hearing type (by telephone, in person, or by digital means) may be considered prior to the hearing. The commissioner will make no rulings on other types of motions.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2506.67(10)</w:t>
      </w:r>
      <w:r>
        <w:rPr>
          <w:rFonts w:ascii="Times New Roman" w:hAnsi="Times New Roman"/>
          <w:b w:val="false"/>
          <w:i w:val="false"/>
          <w:color w:val="000000"/>
          <w:sz w:val="24"/>
        </w:rPr>
        <w:t> </w:t>
      </w:r>
      <w:r>
        <w:rPr>
          <w:rFonts w:ascii="Times New Roman" w:hAnsi="Times New Roman"/>
          <w:b w:val="false"/>
          <w:i/>
          <w:color w:val="000000"/>
          <w:sz w:val="24"/>
        </w:rPr>
        <w:t xml:space="preserve">Briefs. </w:t>
      </w:r>
      <w:r>
        <w:rPr>
          <w:rFonts w:ascii="Times New Roman" w:hAnsi="Times New Roman"/>
          <w:b w:val="false"/>
          <w:i w:val="false"/>
          <w:color w:val="000000"/>
          <w:sz w:val="24"/>
        </w:rPr>
        <w:t>Hearing briefs, if any, must be filed with the agency before the date of the hearing and shall be limited to five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2506.67(11)</w:t>
      </w:r>
      <w:r>
        <w:rPr>
          <w:rFonts w:ascii="Times New Roman" w:hAnsi="Times New Roman"/>
          <w:b w:val="false"/>
          <w:i w:val="false"/>
          <w:color w:val="000000"/>
          <w:sz w:val="24"/>
        </w:rPr>
        <w:t> </w:t>
      </w:r>
      <w:r>
        <w:rPr>
          <w:rFonts w:ascii="Times New Roman" w:hAnsi="Times New Roman"/>
          <w:b w:val="false"/>
          <w:i/>
          <w:color w:val="000000"/>
          <w:sz w:val="24"/>
        </w:rPr>
        <w:t xml:space="preserve">Hearing. </w:t>
      </w:r>
      <w:r>
        <w:rPr>
          <w:rFonts w:ascii="Times New Roman" w:hAnsi="Times New Roman"/>
          <w:b w:val="false"/>
          <w:i w:val="false"/>
          <w:color w:val="000000"/>
          <w:sz w:val="24"/>
        </w:rPr>
        <w:t xml:space="preserve">The hearing will be held either by telephone, in person in Des Moines, Iowa, or by digital means. If the party filing the application does not request an in-person hearing in the application, the other parties may request an in-person hearing. The hearing will be recorded electronically. Copies of the recording will be provided to the parties. If there is an appeal of a proposed decision or judicial review of final agency action, the appealing party is responsible for filing a transcript of the hearing. A transcript shall be provided by the appealing party pursuant to Iowa Code section </w:t>
      </w:r>
      <w:hyperlink r:id="rId246">
        <w:r>
          <w:rPr>
            <w:rStyle w:val="Hyperlink"/>
            <w:rFonts w:ascii="Times New Roman" w:hAnsi="Times New Roman"/>
            <w:b w:val="false"/>
            <w:i w:val="false"/>
            <w:color w:val="000000"/>
            <w:sz w:val="24"/>
          </w:rPr>
          <w:t>10A.321(4)</w:t>
        </w:r>
      </w:hyperlink>
      <w:r>
        <w:rPr>
          <w:rFonts w:ascii="Times New Roman" w:hAnsi="Times New Roman"/>
          <w:b w:val="false"/>
          <w:i w:val="false"/>
          <w:color w:val="000000"/>
          <w:sz w:val="24"/>
        </w:rPr>
        <w:t xml:space="preserve"> and a copy of the transcript shall be served on the opposing party at the time the transcript is filed with the commissioner unless the parties submit an agreed-upon transcript. If a party disputes the accuracy of any transcript prepared by the opposing party, that party shall submit its contentions to the commissioner for resolution. Any transcription charges incurred by the commissioner in resolving the dispute shall be initially paid pursuant to Iowa Code section </w:t>
      </w:r>
      <w:hyperlink r:id="rId247">
        <w:r>
          <w:rPr>
            <w:rStyle w:val="Hyperlink"/>
            <w:rFonts w:ascii="Times New Roman" w:hAnsi="Times New Roman"/>
            <w:b w:val="false"/>
            <w:i w:val="false"/>
            <w:color w:val="000000"/>
            <w:sz w:val="24"/>
          </w:rPr>
          <w:t>10A.320(1)</w:t>
        </w:r>
      </w:hyperlink>
      <w:r>
        <w:rPr>
          <w:rFonts w:ascii="Times New Roman" w:hAnsi="Times New Roman"/>
          <w:b w:val="false"/>
          <w:i w:val="false"/>
          <w:color w:val="000000"/>
          <w:sz w:val="24"/>
        </w:rPr>
        <w:t xml:space="preserve"> by the party that disputes the accuracy of the transcript prepared by the 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2506.67(12)</w:t>
      </w:r>
      <w:r>
        <w:rPr>
          <w:rFonts w:ascii="Times New Roman" w:hAnsi="Times New Roman"/>
          <w:b w:val="false"/>
          <w:i w:val="false"/>
          <w:color w:val="000000"/>
          <w:sz w:val="24"/>
        </w:rPr>
        <w:t> </w:t>
      </w:r>
      <w:r>
        <w:rPr>
          <w:rFonts w:ascii="Times New Roman" w:hAnsi="Times New Roman"/>
          <w:b w:val="false"/>
          <w:i/>
          <w:color w:val="000000"/>
          <w:sz w:val="24"/>
        </w:rPr>
        <w:t xml:space="preserve">Represented party. </w:t>
      </w:r>
      <w:r>
        <w:rPr>
          <w:rFonts w:ascii="Times New Roman" w:hAnsi="Times New Roman"/>
          <w:b w:val="false"/>
          <w:i w:val="false"/>
          <w:color w:val="000000"/>
          <w:sz w:val="24"/>
        </w:rPr>
        <w:t xml:space="preserve">A party may be represented as provided in Iowa Code section </w:t>
      </w:r>
      <w:hyperlink r:id="rId248">
        <w:r>
          <w:rPr>
            <w:rStyle w:val="Hyperlink"/>
            <w:rFonts w:ascii="Times New Roman" w:hAnsi="Times New Roman"/>
            <w:b w:val="false"/>
            <w:i w:val="false"/>
            <w:color w:val="000000"/>
            <w:sz w:val="24"/>
          </w:rPr>
          <w:t>631.14</w:t>
        </w:r>
      </w:hyperlink>
      <w:r>
        <w:rPr>
          <w:rFonts w:ascii="Times New Roman" w:hAnsi="Times New Roman"/>
          <w:b w:val="false"/>
          <w:i w:val="false"/>
          <w:color w:val="000000"/>
          <w:sz w:val="24"/>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2506.67(13)</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A decision will be issued within 30 working days of receipt of a proper application.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9">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w:t>
      </w:r>
      <w:hyperlink r:id="rId250">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51">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876—2506.68</w:t>
      </w:r>
      <w:r>
        <w:rPr>
          <w:rFonts w:ascii="Times New Roman" w:hAnsi="Times New Roman"/>
          <w:b/>
          <w:i w:val="false"/>
          <w:color w:val="000000"/>
          <w:sz w:val="24"/>
        </w:rPr>
        <w:t xml:space="preserve">(10A,17A) </w:t>
      </w:r>
      <w:r>
        <w:rPr>
          <w:rFonts w:ascii="Times New Roman" w:hAnsi="Times New Roman"/>
          <w:b/>
          <w:i w:val="false"/>
          <w:color w:val="000000"/>
          <w:sz w:val="24"/>
        </w:rPr>
        <w:t xml:space="preserve">Agency notice of judicial review matters. </w:t>
      </w:r>
      <w:r>
        <w:rPr>
          <w:rFonts w:ascii="Times New Roman" w:hAnsi="Times New Roman"/>
          <w:b w:val="false"/>
          <w:i w:val="false"/>
          <w:color w:val="000000"/>
          <w:sz w:val="24"/>
        </w:rPr>
        <w:t>A party that petitions for judicial review shall file a copy of the petition for judicial review in WCES within ten days of filing the petition with a district court. If a party has been granted a waiver of the mandatory use of WCES, the party shall file a copy of the petition for judicial review with the division of workers’ compensation within ten days of filing the petition with a district court. A party shall also file a copy of each appellate court decision in WCES within ten days of the date the appellate court decision was issued and filed. If a party has been granted a waiver of the mandatory use of WCES, the party shall file a copy of the appellate court decision with the division of workers’ compensation within ten days of the date the appellate court decision was issued and filed. Within 45 days of the filing of the final appellate court decision, the same party shall notify the division of workers’ compensation of the result of the appellate process.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2">
        <w:r>
          <w:rPr>
            <w:rStyle w:val="Hyperlink"/>
            <w:rFonts w:ascii="Times New Roman" w:hAnsi="Times New Roman"/>
            <w:b w:val="false"/>
            <w:i w:val="false"/>
            <w:color w:val="000000"/>
            <w:sz w:val="24"/>
          </w:rPr>
          <w:t>10A.322</w:t>
        </w:r>
      </w:hyperlink>
      <w:r>
        <w:rPr>
          <w:rFonts w:ascii="Times New Roman" w:hAnsi="Times New Roman"/>
          <w:b w:val="false"/>
          <w:i w:val="false"/>
          <w:color w:val="000000"/>
          <w:sz w:val="24"/>
        </w:rPr>
        <w:t xml:space="preserve"> and </w:t>
      </w:r>
      <w:hyperlink r:id="rId253">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876—2506.69</w:t>
      </w:r>
      <w:r>
        <w:rPr>
          <w:rFonts w:ascii="Times New Roman" w:hAnsi="Times New Roman"/>
          <w:b/>
          <w:i w:val="false"/>
          <w:color w:val="000000"/>
          <w:sz w:val="24"/>
        </w:rPr>
        <w:t xml:space="preserve">(10A,17A,85,85A,85B) </w:t>
      </w:r>
      <w:r>
        <w:rPr>
          <w:rFonts w:ascii="Times New Roman" w:hAnsi="Times New Roman"/>
          <w:b/>
          <w:i w:val="false"/>
          <w:color w:val="000000"/>
          <w:sz w:val="24"/>
        </w:rPr>
        <w:t xml:space="preserve">Rule of electronic procedure. </w:t>
      </w:r>
      <w:r>
        <w:rPr>
          <w:rFonts w:ascii="Times New Roman" w:hAnsi="Times New Roman"/>
          <w:b w:val="false"/>
          <w:i w:val="false"/>
          <w:color w:val="000000"/>
          <w:sz w:val="24"/>
        </w:rPr>
        <w:t xml:space="preserve">Chapter 16 of the Iowa Court Rules of Electronic Procedure shall govern the use and filings in WCES for contested case proceedings before the workers’ compensation commissioner unless the provisions are in conflict with these rules or Iowa Code chapters </w:t>
      </w:r>
      <w:hyperlink r:id="rId254">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25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256">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257">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258">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xml:space="preserve"> or are obviously inapplicable to the commissioner. In those circumstances, these rules or the appropriate Iowa Code section shall govern. Where appropriate, reference to the word “court” shall be deemed reference to the “workers’ compensation commissioner or deputy workers’ compensation commissioner,” reference to the word “trial” shall be deemed reference to “contested case hearing,” and reference to “clerk of court” shall be deemed reference to staff at the workers’ compensation division.</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59">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26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61">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262">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sectPr>
      <w:footerReference r:id="rId26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ac/chapter/7.2500.pdf"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co/chapter/17A.24.pdf" Type="http://schemas.openxmlformats.org/officeDocument/2006/relationships/hyperlink" Id="rId8"/>
    <Relationship TargetMode="External" Target="https://www.legis.iowa.gov/docs/ico/chapter/10A.317.pdf" Type="http://schemas.openxmlformats.org/officeDocument/2006/relationships/hyperlink" Id="rId9"/>
    <Relationship TargetMode="External" Target="https://www.legis.iowa.gov/docs/ico/chapter/10A.317.pdf" Type="http://schemas.openxmlformats.org/officeDocument/2006/relationships/hyperlink" Id="rId10"/>
    <Relationship TargetMode="External" Target="https://www.legis.iowa.gov/docs/ico/chapter/85.27.pdf" Type="http://schemas.openxmlformats.org/officeDocument/2006/relationships/hyperlink" Id="rId11"/>
    <Relationship TargetMode="External" Target="https://www.legis.iowa.gov/docs/ico/chapter/85.28.pdf" Type="http://schemas.openxmlformats.org/officeDocument/2006/relationships/hyperlink" Id="rId12"/>
    <Relationship TargetMode="External" Target="https://www.legis.iowa.gov/docs/ico/chapter/85.29.pdf" Type="http://schemas.openxmlformats.org/officeDocument/2006/relationships/hyperlink" Id="rId13"/>
    <Relationship TargetMode="External" Target="https://www.legis.iowa.gov/docs/ico/chapter/85.31.pdf" Type="http://schemas.openxmlformats.org/officeDocument/2006/relationships/hyperlink" Id="rId14"/>
    <Relationship TargetMode="External" Target="https://www.legis.iowa.gov/docs/ico/chapter/85.42.pdf" Type="http://schemas.openxmlformats.org/officeDocument/2006/relationships/hyperlink" Id="rId15"/>
    <Relationship TargetMode="External" Target="https://www.legis.iowa.gov/docs/ico/chapter/85.44.pdf" Type="http://schemas.openxmlformats.org/officeDocument/2006/relationships/hyperlink" Id="rId16"/>
    <Relationship TargetMode="External" Target="https://www.legis.iowa.gov/docs/ico/chapter/85.43.pdf" Type="http://schemas.openxmlformats.org/officeDocument/2006/relationships/hyperlink" Id="rId17"/>
    <Relationship TargetMode="External" Target="https://www.legis.iowa.gov/docs/ico/chapter/85.63.pdf" Type="http://schemas.openxmlformats.org/officeDocument/2006/relationships/hyperlink" Id="rId18"/>
    <Relationship TargetMode="External" Target="https://www.legis.iowa.gov/docs/ico/chapter/85.70.pdf" Type="http://schemas.openxmlformats.org/officeDocument/2006/relationships/hyperlink" Id="rId19"/>
    <Relationship TargetMode="External" Target="https://www.legis.iowa.gov/docs/ico/chapter/85.70.pdf" Type="http://schemas.openxmlformats.org/officeDocument/2006/relationships/hyperlink" Id="rId20"/>
    <Relationship TargetMode="External" Target="https://www.legis.iowa.gov/docs/ico/chapter/10A.327.pdf" Type="http://schemas.openxmlformats.org/officeDocument/2006/relationships/hyperlink" Id="rId21"/>
    <Relationship TargetMode="External" Target="https://www.legis.iowa.gov/docs/ico/chapter/85.45.pdf" Type="http://schemas.openxmlformats.org/officeDocument/2006/relationships/hyperlink" Id="rId22"/>
    <Relationship TargetMode="External" Target="https://www.legis.iowa.gov/docs/ico/chapter/85.39.pdf" Type="http://schemas.openxmlformats.org/officeDocument/2006/relationships/hyperlink" Id="rId23"/>
    <Relationship TargetMode="External" Target="https://www.legis.iowa.gov/docs/ico/chapter/10A.pdf" Type="http://schemas.openxmlformats.org/officeDocument/2006/relationships/hyperlink" Id="rId24"/>
    <Relationship TargetMode="External" Target="https://www.legis.iowa.gov/docs/ico/chapter/85.pdf" Type="http://schemas.openxmlformats.org/officeDocument/2006/relationships/hyperlink" Id="rId25"/>
    <Relationship TargetMode="External" Target="https://www.legis.iowa.gov/docs/ico/chapter/85B.pdf" Type="http://schemas.openxmlformats.org/officeDocument/2006/relationships/hyperlink" Id="rId26"/>
    <Relationship TargetMode="External" Target="https://www.legis.iowa.gov/docs/ico/chapter/87.pdf" Type="http://schemas.openxmlformats.org/officeDocument/2006/relationships/hyperlink" Id="rId27"/>
    <Relationship TargetMode="External" Target="https://www.legis.iowa.gov/docs/ico/chapter/85.27.pdf" Type="http://schemas.openxmlformats.org/officeDocument/2006/relationships/hyperlink" Id="rId28"/>
    <Relationship TargetMode="External" Target="https://www.legis.iowa.gov/docs/ico/chapter/85.21.pdf" Type="http://schemas.openxmlformats.org/officeDocument/2006/relationships/hyperlink" Id="rId29"/>
    <Relationship TargetMode="External" Target="https://www.legis.iowa.gov/docs/ico/chapter/85.30.pdf" Type="http://schemas.openxmlformats.org/officeDocument/2006/relationships/hyperlink" Id="rId30"/>
    <Relationship TargetMode="External" Target="https://www.legis.iowa.gov/docs/ico/chapter/10A.315.pdf" Type="http://schemas.openxmlformats.org/officeDocument/2006/relationships/hyperlink" Id="rId31"/>
    <Relationship TargetMode="External" Target="https://www.legis.iowa.gov/docs/ico/chapter/85.22.pdf" Type="http://schemas.openxmlformats.org/officeDocument/2006/relationships/hyperlink" Id="rId32"/>
    <Relationship TargetMode="External" Target="https://www.legis.iowa.gov/docs/iac/rule/876.2506.32.pdf" Type="http://schemas.openxmlformats.org/officeDocument/2006/relationships/hyperlink" Id="rId33"/>
    <Relationship TargetMode="External" Target="https://www.legis.iowa.gov/docs/iac/rule/876.2506.32.pdf" Type="http://schemas.openxmlformats.org/officeDocument/2006/relationships/hyperlink" Id="rId34"/>
    <Relationship TargetMode="External" Target="https://www.legis.iowa.gov/docs/ico/chapter/10A.310.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85.pdf" Type="http://schemas.openxmlformats.org/officeDocument/2006/relationships/hyperlink" Id="rId37"/>
    <Relationship TargetMode="External" Target="https://www.legis.iowa.gov/docs/ico/chapter/10A.315.pdf" Type="http://schemas.openxmlformats.org/officeDocument/2006/relationships/hyperlink" Id="rId38"/>
    <Relationship TargetMode="External" Target="https://www.legis.iowa.gov/docs/ico/chapter/10A.315.pdf" Type="http://schemas.openxmlformats.org/officeDocument/2006/relationships/hyperlink" Id="rId39"/>
    <Relationship TargetMode="External" Target="https://www.legis.iowa.gov/docs/ico/chapter/10A.319.pdf" Type="http://schemas.openxmlformats.org/officeDocument/2006/relationships/hyperlink" Id="rId40"/>
    <Relationship TargetMode="External" Target="https://www.legis.iowa.gov/docs/ico/chapter/10A.321.pdf" Type="http://schemas.openxmlformats.org/officeDocument/2006/relationships/hyperlink" Id="rId41"/>
    <Relationship TargetMode="External" Target="https://www.legis.iowa.gov/docs/ico/chapter/87.10.pdf" Type="http://schemas.openxmlformats.org/officeDocument/2006/relationships/hyperlink" Id="rId42"/>
    <Relationship TargetMode="External" Target="https://www.legis.iowa.gov/docs/ico/chapter/10A.314.pdf" Type="http://schemas.openxmlformats.org/officeDocument/2006/relationships/hyperlink" Id="rId43"/>
    <Relationship TargetMode="External" Target="https://www.legis.iowa.gov/docs/ico/chapter/10A.315.pdf" Type="http://schemas.openxmlformats.org/officeDocument/2006/relationships/hyperlink" Id="rId44"/>
    <Relationship TargetMode="External" Target="https://www.legis.iowa.gov/docs/ico/chapter/10A.316.pdf" Type="http://schemas.openxmlformats.org/officeDocument/2006/relationships/hyperlink" Id="rId45"/>
    <Relationship TargetMode="External" Target="https://www.legis.iowa.gov/docs/ico/chapter/10A.pdf" Type="http://schemas.openxmlformats.org/officeDocument/2006/relationships/hyperlink" Id="rId46"/>
    <Relationship TargetMode="External" Target="https://www.legis.iowa.gov/docs/ico/chapter/85.pdf" Type="http://schemas.openxmlformats.org/officeDocument/2006/relationships/hyperlink" Id="rId47"/>
    <Relationship TargetMode="External" Target="https://www.legis.iowa.gov/docs/ico/chapter/85B.pdf" Type="http://schemas.openxmlformats.org/officeDocument/2006/relationships/hyperlink" Id="rId48"/>
    <Relationship TargetMode="External" Target="https://www.legis.iowa.gov/docs/ico/chapter/87.pdf" Type="http://schemas.openxmlformats.org/officeDocument/2006/relationships/hyperlink" Id="rId49"/>
    <Relationship TargetMode="External" Target="https://www.legis.iowa.gov/docs/iac/rule/876.2506.32.pdf" Type="http://schemas.openxmlformats.org/officeDocument/2006/relationships/hyperlink" Id="rId50"/>
    <Relationship TargetMode="External" Target="https://www.legis.iowa.gov/docs/iac/rule/876.2506.32.pdf" Type="http://schemas.openxmlformats.org/officeDocument/2006/relationships/hyperlink" Id="rId51"/>
    <Relationship TargetMode="External" Target="https://www.legis.iowa.gov/docs/ico/chapter/10A.pdf" Type="http://schemas.openxmlformats.org/officeDocument/2006/relationships/hyperlink" Id="rId52"/>
    <Relationship TargetMode="External" Target="https://www.legis.iowa.gov/docs/ico/chapter/85.pdf" Type="http://schemas.openxmlformats.org/officeDocument/2006/relationships/hyperlink" Id="rId53"/>
    <Relationship TargetMode="External" Target="https://www.legis.iowa.gov/docs/ico/chapter/85B.pdf" Type="http://schemas.openxmlformats.org/officeDocument/2006/relationships/hyperlink" Id="rId54"/>
    <Relationship TargetMode="External" Target="https://www.legis.iowa.gov/docs/ico/chapter/87.pdf" Type="http://schemas.openxmlformats.org/officeDocument/2006/relationships/hyperlink" Id="rId55"/>
    <Relationship TargetMode="External" Target="https://www.legis.iowa.gov/docs/ico/chapter/17A.12.pdf" Type="http://schemas.openxmlformats.org/officeDocument/2006/relationships/hyperlink" Id="rId56"/>
    <Relationship TargetMode="External" Target="https://www.legis.iowa.gov/docs/iac/rule/876.2506.32.pdf" Type="http://schemas.openxmlformats.org/officeDocument/2006/relationships/hyperlink" Id="rId57"/>
    <Relationship TargetMode="External" Target="https://www.legis.iowa.gov/docs/iac/rule/876.2506.32.pdf" Type="http://schemas.openxmlformats.org/officeDocument/2006/relationships/hyperlink" Id="rId58"/>
    <Relationship TargetMode="External" Target="https://www.legis.iowa.gov/docs/iac/rule/876.2506.32.pdf" Type="http://schemas.openxmlformats.org/officeDocument/2006/relationships/hyperlink" Id="rId59"/>
    <Relationship TargetMode="External" Target="https://www.legis.iowa.gov/docs/iac/rule/876.2506.62.pdf" Type="http://schemas.openxmlformats.org/officeDocument/2006/relationships/hyperlink" Id="rId60"/>
    <Relationship TargetMode="External" Target="https://www.legis.iowa.gov/docs/iac/rule/876.2506.65.pdf" Type="http://schemas.openxmlformats.org/officeDocument/2006/relationships/hyperlink" Id="rId61"/>
    <Relationship TargetMode="External" Target="https://www.legis.iowa.gov/docs/iac/rule/876.2506.67.pdf" Type="http://schemas.openxmlformats.org/officeDocument/2006/relationships/hyperlink" Id="rId62"/>
    <Relationship TargetMode="External" Target="https://www.legis.iowa.gov/docs/ico/chapter/85.21.pdf" Type="http://schemas.openxmlformats.org/officeDocument/2006/relationships/hyperlink" Id="rId63"/>
    <Relationship TargetMode="External" Target="https://www.legis.iowa.gov/docs/ico/chapter/85.21.pdf" Type="http://schemas.openxmlformats.org/officeDocument/2006/relationships/hyperlink" Id="rId64"/>
    <Relationship TargetMode="External" Target="https://www.legis.iowa.gov/docs/ico/chapter/10A.pdf" Type="http://schemas.openxmlformats.org/officeDocument/2006/relationships/hyperlink" Id="rId65"/>
    <Relationship TargetMode="External" Target="https://www.legis.iowa.gov/docs/ico/chapter/17A.12.pdf" Type="http://schemas.openxmlformats.org/officeDocument/2006/relationships/hyperlink" Id="rId66"/>
    <Relationship TargetMode="External" Target="https://www.legis.iowa.gov/docs/ico/chapter/85.27.pdf" Type="http://schemas.openxmlformats.org/officeDocument/2006/relationships/hyperlink" Id="rId67"/>
    <Relationship TargetMode="External" Target="https://www.legis.iowa.gov/docs/ico/chapter/85.45.pdf" Type="http://schemas.openxmlformats.org/officeDocument/2006/relationships/hyperlink" Id="rId68"/>
    <Relationship TargetMode="External" Target="https://www.legis.iowa.gov/docs/ico/chapter/85.48.pdf" Type="http://schemas.openxmlformats.org/officeDocument/2006/relationships/hyperlink" Id="rId69"/>
    <Relationship TargetMode="External" Target="https://www.legis.iowa.gov/docs/ico/chapter/17A.12.pdf" Type="http://schemas.openxmlformats.org/officeDocument/2006/relationships/hyperlink" Id="rId70"/>
    <Relationship TargetMode="External" Target="https://www.legis.iowa.gov/docs/ico/chapter/85.3.pdf" Type="http://schemas.openxmlformats.org/officeDocument/2006/relationships/hyperlink" Id="rId71"/>
    <Relationship TargetMode="External" Target="https://www.legis.iowa.gov/docs/ico/chapter/17A.12.pdf" Type="http://schemas.openxmlformats.org/officeDocument/2006/relationships/hyperlink" Id="rId72"/>
    <Relationship TargetMode="External" Target="https://www.legis.iowa.gov/docs/ico/chapter/85.3.pdf" Type="http://schemas.openxmlformats.org/officeDocument/2006/relationships/hyperlink" Id="rId73"/>
    <Relationship TargetMode="External" Target="https://www.legis.iowa.gov/docs/iac/rule/876.2506.36.pdf" Type="http://schemas.openxmlformats.org/officeDocument/2006/relationships/hyperlink" Id="rId74"/>
    <Relationship TargetMode="External" Target="https://www.legis.iowa.gov/docs/ico/chapter/85.27.pdf" Type="http://schemas.openxmlformats.org/officeDocument/2006/relationships/hyperlink" Id="rId75"/>
    <Relationship TargetMode="External" Target="https://www.legis.iowa.gov/docs/ico/chapter/85.28.pdf" Type="http://schemas.openxmlformats.org/officeDocument/2006/relationships/hyperlink" Id="rId76"/>
    <Relationship TargetMode="External" Target="https://www.legis.iowa.gov/docs/ico/chapter/85.42.pdf" Type="http://schemas.openxmlformats.org/officeDocument/2006/relationships/hyperlink" Id="rId77"/>
    <Relationship TargetMode="External" Target="https://www.legis.iowa.gov/docs/ico/chapter/85.44.pdf" Type="http://schemas.openxmlformats.org/officeDocument/2006/relationships/hyperlink" Id="rId78"/>
    <Relationship TargetMode="External" Target="https://www.legis.iowa.gov/docs/ico/chapter/85.43.pdf" Type="http://schemas.openxmlformats.org/officeDocument/2006/relationships/hyperlink" Id="rId79"/>
    <Relationship TargetMode="External" Target="https://www.legis.iowa.gov/docs/ico/chapter/85.63.pdf" Type="http://schemas.openxmlformats.org/officeDocument/2006/relationships/hyperlink" Id="rId80"/>
    <Relationship TargetMode="External" Target="https://www.legis.iowa.gov/docs/ico/chapter/85.69.pdf" Type="http://schemas.openxmlformats.org/officeDocument/2006/relationships/hyperlink" Id="rId81"/>
    <Relationship TargetMode="External" Target="https://www.legis.iowa.gov/docs/ico/chapter/85.70.pdf" Type="http://schemas.openxmlformats.org/officeDocument/2006/relationships/hyperlink" Id="rId82"/>
    <Relationship TargetMode="External" Target="https://www.legis.iowa.gov/docs/ico/chapter/85.70.pdf" Type="http://schemas.openxmlformats.org/officeDocument/2006/relationships/hyperlink" Id="rId83"/>
    <Relationship TargetMode="External" Target="https://www.legis.iowa.gov/docs/ico/chapter/10A.327.pdf" Type="http://schemas.openxmlformats.org/officeDocument/2006/relationships/hyperlink" Id="rId84"/>
    <Relationship TargetMode="External" Target="https://www.legis.iowa.gov/docs/ico/chapter/85.45.pdf" Type="http://schemas.openxmlformats.org/officeDocument/2006/relationships/hyperlink" Id="rId85"/>
    <Relationship TargetMode="External" Target="https://www.legis.iowa.gov/docs/ico/chapter/85.47.pdf" Type="http://schemas.openxmlformats.org/officeDocument/2006/relationships/hyperlink" Id="rId86"/>
    <Relationship TargetMode="External" Target="https://www.legis.iowa.gov/docs/ico/chapter/85.48.pdf" Type="http://schemas.openxmlformats.org/officeDocument/2006/relationships/hyperlink" Id="rId87"/>
    <Relationship TargetMode="External" Target="https://www.legis.iowa.gov/docs/ico/chapter/85.39.pdf" Type="http://schemas.openxmlformats.org/officeDocument/2006/relationships/hyperlink" Id="rId88"/>
    <Relationship TargetMode="External" Target="https://www.legis.iowa.gov/docs/ico/chapter/85.39.pdf" Type="http://schemas.openxmlformats.org/officeDocument/2006/relationships/hyperlink" Id="rId89"/>
    <Relationship TargetMode="External" Target="https://www.legis.iowa.gov/docs/ico/chapter/85.27.pdf" Type="http://schemas.openxmlformats.org/officeDocument/2006/relationships/hyperlink" Id="rId90"/>
    <Relationship TargetMode="External" Target="https://www.legis.iowa.gov/docs/ico/chapter/85.21.pdf" Type="http://schemas.openxmlformats.org/officeDocument/2006/relationships/hyperlink" Id="rId91"/>
    <Relationship TargetMode="External" Target="https://www.legis.iowa.gov/docs/ico/chapter/85.30.pdf" Type="http://schemas.openxmlformats.org/officeDocument/2006/relationships/hyperlink" Id="rId92"/>
    <Relationship TargetMode="External" Target="https://www.legis.iowa.gov/docs/ico/chapter/10A.315.pdf" Type="http://schemas.openxmlformats.org/officeDocument/2006/relationships/hyperlink" Id="rId93"/>
    <Relationship TargetMode="External" Target="https://www.legis.iowa.gov/docs/ico/chapter/85.22.pdf" Type="http://schemas.openxmlformats.org/officeDocument/2006/relationships/hyperlink" Id="rId94"/>
    <Relationship TargetMode="External" Target="https://www.legis.iowa.gov/docs/iac/rule/876.2506.38.pdf" Type="http://schemas.openxmlformats.org/officeDocument/2006/relationships/hyperlink" Id="rId95"/>
    <Relationship TargetMode="External" Target="https://www.legis.iowa.gov/docs/iac/rule/876.2506.59.pdf" Type="http://schemas.openxmlformats.org/officeDocument/2006/relationships/hyperlink" Id="rId96"/>
    <Relationship TargetMode="External" Target="https://www.legis.iowa.gov/docs/iac/rule/876.2506.38.pdf" Type="http://schemas.openxmlformats.org/officeDocument/2006/relationships/hyperlink" Id="rId97"/>
    <Relationship TargetMode="External" Target="https://www.legis.iowa.gov/docs/iac/rule/876.2506.38.pdf" Type="http://schemas.openxmlformats.org/officeDocument/2006/relationships/hyperlink" Id="rId98"/>
    <Relationship TargetMode="External" Target="https://www.legis.iowa.gov/docs/iac/rule/876.2506.59.pdf" Type="http://schemas.openxmlformats.org/officeDocument/2006/relationships/hyperlink" Id="rId99"/>
    <Relationship TargetMode="External" Target="https://www.legis.iowa.gov/docs/ico/chapter/17A.12.pdf" Type="http://schemas.openxmlformats.org/officeDocument/2006/relationships/hyperlink" Id="rId100"/>
    <Relationship TargetMode="External" Target="http://efile.iowaworkcomp.gov" Type="http://schemas.openxmlformats.org/officeDocument/2006/relationships/hyperlink" Id="rId101"/>
    <Relationship TargetMode="External" Target="https://www.legis.iowa.gov/docs/iac/rule/876.3.1.pdf" Type="http://schemas.openxmlformats.org/officeDocument/2006/relationships/hyperlink" Id="rId102"/>
    <Relationship TargetMode="External" Target="https://www.legis.iowa.gov/docs/ico/chapter/17A.12.pdf" Type="http://schemas.openxmlformats.org/officeDocument/2006/relationships/hyperlink" Id="rId103"/>
    <Relationship TargetMode="External" Target="https://www.legis.iowa.gov/docs/ico/chapter/10A.pdf" Type="http://schemas.openxmlformats.org/officeDocument/2006/relationships/hyperlink" Id="rId104"/>
    <Relationship TargetMode="External" Target="https://www.legis.iowa.gov/docs/ico/chapter/87.10.pdf" Type="http://schemas.openxmlformats.org/officeDocument/2006/relationships/hyperlink" Id="rId105"/>
    <Relationship TargetMode="External" Target="https://www.legis.iowa.gov/docs/ico/chapter/17A.12.pdf" Type="http://schemas.openxmlformats.org/officeDocument/2006/relationships/hyperlink" Id="rId106"/>
    <Relationship TargetMode="External" Target="https://www.legis.iowa.gov/docs/iac/rule/876.2506.36.pdf" Type="http://schemas.openxmlformats.org/officeDocument/2006/relationships/hyperlink" Id="rId107"/>
    <Relationship TargetMode="External" Target="https://www.legis.iowa.gov/docs/iac/rule/876.2506.37.pdf" Type="http://schemas.openxmlformats.org/officeDocument/2006/relationships/hyperlink" Id="rId108"/>
    <Relationship TargetMode="External" Target="https://www.legis.iowa.gov/docs/iac/rule/876.2506.43.pdf" Type="http://schemas.openxmlformats.org/officeDocument/2006/relationships/hyperlink" Id="rId109"/>
    <Relationship TargetMode="External" Target="https://www.legis.iowa.gov/docs/ico/chapter/10A.319.pdf" Type="http://schemas.openxmlformats.org/officeDocument/2006/relationships/hyperlink" Id="rId110"/>
    <Relationship TargetMode="External" Target="https://www.legis.iowa.gov/docs/ico/chapter/17A.12.pdf" Type="http://schemas.openxmlformats.org/officeDocument/2006/relationships/hyperlink" Id="rId111"/>
    <Relationship TargetMode="External" Target="https://www.legis.iowa.gov/docs/iac/rule/876.2506.36.pdf" Type="http://schemas.openxmlformats.org/officeDocument/2006/relationships/hyperlink" Id="rId112"/>
    <Relationship TargetMode="External" Target="https://www.legis.iowa.gov/docs/iac/rule/876.2506.37.pdf" Type="http://schemas.openxmlformats.org/officeDocument/2006/relationships/hyperlink" Id="rId113"/>
    <Relationship TargetMode="External" Target="https://www.legis.iowa.gov/docs/iac/rule/876.2506.44.pdf" Type="http://schemas.openxmlformats.org/officeDocument/2006/relationships/hyperlink" Id="rId114"/>
    <Relationship TargetMode="External" Target="https://www.legis.iowa.gov/docs/iac/rule/876.2506.47.pdf" Type="http://schemas.openxmlformats.org/officeDocument/2006/relationships/hyperlink" Id="rId115"/>
    <Relationship TargetMode="External" Target="https://www.legis.iowa.gov/docs/ico/chapter/10A.319.pdf" Type="http://schemas.openxmlformats.org/officeDocument/2006/relationships/hyperlink" Id="rId116"/>
    <Relationship TargetMode="External" Target="https://www.legis.iowa.gov/docs/ico/chapter/17A.12.pdf" Type="http://schemas.openxmlformats.org/officeDocument/2006/relationships/hyperlink" Id="rId117"/>
    <Relationship TargetMode="External" Target="https://www.legis.iowa.gov/docs/iac/rule/876.2506.42.pdf" Type="http://schemas.openxmlformats.org/officeDocument/2006/relationships/hyperlink" Id="rId118"/>
    <Relationship TargetMode="External" Target="https://www.legis.iowa.gov/docs/iac/rule/876.2506.46.pdf" Type="http://schemas.openxmlformats.org/officeDocument/2006/relationships/hyperlink" Id="rId119"/>
    <Relationship TargetMode="External" Target="https://www.legis.iowa.gov/docs/ico/chapter/10A.319.pdf" Type="http://schemas.openxmlformats.org/officeDocument/2006/relationships/hyperlink" Id="rId120"/>
    <Relationship TargetMode="External" Target="https://www.legis.iowa.gov/docs/iac/rule/876.2506.42.pdf" Type="http://schemas.openxmlformats.org/officeDocument/2006/relationships/hyperlink" Id="rId121"/>
    <Relationship TargetMode="External" Target="https://www.legis.iowa.gov/docs/ico/chapter/10A.319.pdf" Type="http://schemas.openxmlformats.org/officeDocument/2006/relationships/hyperlink" Id="rId122"/>
    <Relationship TargetMode="External" Target="https://www.legis.iowa.gov/docs/iac/rule/876.2506.44.pdf" Type="http://schemas.openxmlformats.org/officeDocument/2006/relationships/hyperlink" Id="rId123"/>
    <Relationship TargetMode="External" Target="https://www.legis.iowa.gov/docs/iac/rule/876.2506.62.pdf" Type="http://schemas.openxmlformats.org/officeDocument/2006/relationships/hyperlink" Id="rId124"/>
    <Relationship TargetMode="External" Target="https://www.legis.iowa.gov/docs/ico/chapter/10A.310.pdf" Type="http://schemas.openxmlformats.org/officeDocument/2006/relationships/hyperlink" Id="rId125"/>
    <Relationship TargetMode="External" Target="https://www.legis.iowa.gov/docs/ico/chapter/10A.319.pdf" Type="http://schemas.openxmlformats.org/officeDocument/2006/relationships/hyperlink" Id="rId126"/>
    <Relationship TargetMode="External" Target="https://www.legis.iowa.gov/docs/iac/rule/876.2506.61.pdf" Type="http://schemas.openxmlformats.org/officeDocument/2006/relationships/hyperlink" Id="rId127"/>
    <Relationship TargetMode="External" Target="https://www.legis.iowa.gov/docs/ico/chapter/10A.310.pdf" Type="http://schemas.openxmlformats.org/officeDocument/2006/relationships/hyperlink" Id="rId128"/>
    <Relationship TargetMode="External" Target="https://www.legis.iowa.gov/docs/ico/chapter/10A.319.pdf" Type="http://schemas.openxmlformats.org/officeDocument/2006/relationships/hyperlink" Id="rId129"/>
    <Relationship TargetMode="External" Target="https://www.legis.iowa.gov/docs/iac/rule/876.2506.64.pdf" Type="http://schemas.openxmlformats.org/officeDocument/2006/relationships/hyperlink" Id="rId130"/>
    <Relationship TargetMode="External" Target="https://www.legis.iowa.gov/docs/iac/rule/876.2506.65.pdf" Type="http://schemas.openxmlformats.org/officeDocument/2006/relationships/hyperlink" Id="rId131"/>
    <Relationship TargetMode="External" Target="https://www.legis.iowa.gov/docs/ico/chapter/85.39.pdf" Type="http://schemas.openxmlformats.org/officeDocument/2006/relationships/hyperlink" Id="rId132"/>
    <Relationship TargetMode="External" Target="https://www.legis.iowa.gov/docs/iac/rule/876.2506.46.pdf" Type="http://schemas.openxmlformats.org/officeDocument/2006/relationships/hyperlink" Id="rId133"/>
    <Relationship TargetMode="External" Target="https://www.legis.iowa.gov/docs/iac/rule/876.2506.46.pdf" Type="http://schemas.openxmlformats.org/officeDocument/2006/relationships/hyperlink" Id="rId134"/>
    <Relationship TargetMode="External" Target="https://www.legis.iowa.gov/docs/ico/chapter/10A.319.pdf" Type="http://schemas.openxmlformats.org/officeDocument/2006/relationships/hyperlink" Id="rId135"/>
    <Relationship TargetMode="External" Target="https://www.legis.iowa.gov/docs/iac/rule/876.2506.62.pdf" Type="http://schemas.openxmlformats.org/officeDocument/2006/relationships/hyperlink" Id="rId136"/>
    <Relationship TargetMode="External" Target="https://www.legis.iowa.gov/docs/ico/chapter/10A.pdf" Type="http://schemas.openxmlformats.org/officeDocument/2006/relationships/hyperlink" Id="rId137"/>
    <Relationship TargetMode="External" Target="https://www.legis.iowa.gov/docs/ico/chapter/10A.318.pdf" Type="http://schemas.openxmlformats.org/officeDocument/2006/relationships/hyperlink" Id="rId138"/>
    <Relationship TargetMode="External" Target="https://www.legis.iowa.gov/docs/ico/chapter/10A.319.pdf" Type="http://schemas.openxmlformats.org/officeDocument/2006/relationships/hyperlink" Id="rId139"/>
    <Relationship TargetMode="External" Target="https://www.legis.iowa.gov/docs/ico/chapter/10A.318.pdf" Type="http://schemas.openxmlformats.org/officeDocument/2006/relationships/hyperlink" Id="rId140"/>
    <Relationship TargetMode="External" Target="https://www.legis.iowa.gov/docs/ico/chapter/10A.319.pdf" Type="http://schemas.openxmlformats.org/officeDocument/2006/relationships/hyperlink" Id="rId141"/>
    <Relationship TargetMode="External" Target="https://www.legis.iowa.gov/docs/ico/chapter/10A.310.pdf" Type="http://schemas.openxmlformats.org/officeDocument/2006/relationships/hyperlink" Id="rId142"/>
    <Relationship TargetMode="External" Target="https://www.legis.iowa.gov/docs/ico/chapter/10A.319.pdf" Type="http://schemas.openxmlformats.org/officeDocument/2006/relationships/hyperlink" Id="rId143"/>
    <Relationship TargetMode="External" Target="https://www.legis.iowa.gov/docs/ico/chapter/10A.pdf" Type="http://schemas.openxmlformats.org/officeDocument/2006/relationships/hyperlink" Id="rId144"/>
    <Relationship TargetMode="External" Target="https://www.legis.iowa.gov/docs/ico/chapter/17A.pdf" Type="http://schemas.openxmlformats.org/officeDocument/2006/relationships/hyperlink" Id="rId145"/>
    <Relationship TargetMode="External" Target="https://www.legis.iowa.gov/docs/ico/chapter/85.pdf" Type="http://schemas.openxmlformats.org/officeDocument/2006/relationships/hyperlink" Id="rId146"/>
    <Relationship TargetMode="External" Target="https://www.legis.iowa.gov/docs/ico/chapter/85B.pdf" Type="http://schemas.openxmlformats.org/officeDocument/2006/relationships/hyperlink" Id="rId147"/>
    <Relationship TargetMode="External" Target="https://www.legis.iowa.gov/docs/iac/rule/876.2506.52.pdf" Type="http://schemas.openxmlformats.org/officeDocument/2006/relationships/hyperlink" Id="rId148"/>
    <Relationship TargetMode="External" Target="https://www.legis.iowa.gov/docs/ico/chapter/10A.321.pdf" Type="http://schemas.openxmlformats.org/officeDocument/2006/relationships/hyperlink" Id="rId149"/>
    <Relationship TargetMode="External" Target="https://www.legis.iowa.gov/docs/ico/chapter/17A.15.pdf" Type="http://schemas.openxmlformats.org/officeDocument/2006/relationships/hyperlink" Id="rId150"/>
    <Relationship TargetMode="External" Target="https://www.legis.iowa.gov/docs/ico/chapter/17A.16.pdf" Type="http://schemas.openxmlformats.org/officeDocument/2006/relationships/hyperlink" Id="rId151"/>
    <Relationship TargetMode="External" Target="https://www.legis.iowa.gov/docs/iac/rule/876.2506.33.pdf" Type="http://schemas.openxmlformats.org/officeDocument/2006/relationships/hyperlink" Id="rId152"/>
    <Relationship TargetMode="External" Target="https://www.legis.iowa.gov/docs/iac/rule/876.2506.53.pdf" Type="http://schemas.openxmlformats.org/officeDocument/2006/relationships/hyperlink" Id="rId153"/>
    <Relationship TargetMode="External" Target="https://www.legis.iowa.gov/docs/iac/rule/876.2506.43.pdf" Type="http://schemas.openxmlformats.org/officeDocument/2006/relationships/hyperlink" Id="rId154"/>
    <Relationship TargetMode="External" Target="https://www.legis.iowa.gov/docs/ico/chapter/10A.315.pdf" Type="http://schemas.openxmlformats.org/officeDocument/2006/relationships/hyperlink" Id="rId155"/>
    <Relationship TargetMode="External" Target="https://www.legis.iowa.gov/docs/ico/chapter/85.33.pdf" Type="http://schemas.openxmlformats.org/officeDocument/2006/relationships/hyperlink" Id="rId156"/>
    <Relationship TargetMode="External" Target="https://www.legis.iowa.gov/docs/ico/chapter/85.34.pdf" Type="http://schemas.openxmlformats.org/officeDocument/2006/relationships/hyperlink" Id="rId157"/>
    <Relationship TargetMode="External" Target="https://www.legis.iowa.gov/docs/iac/rule/876.2506.53.pdf" Type="http://schemas.openxmlformats.org/officeDocument/2006/relationships/hyperlink" Id="rId158"/>
    <Relationship TargetMode="External" Target="https://www.legis.iowa.gov/docs/ico/chapter/10A.321.pdf" Type="http://schemas.openxmlformats.org/officeDocument/2006/relationships/hyperlink" Id="rId159"/>
    <Relationship TargetMode="External" Target="https://www.legis.iowa.gov/docs/ico/chapter/17A.15.pdf" Type="http://schemas.openxmlformats.org/officeDocument/2006/relationships/hyperlink" Id="rId160"/>
    <Relationship TargetMode="External" Target="https://www.legis.iowa.gov/docs/iac/rule/876.2506.63.pdf" Type="http://schemas.openxmlformats.org/officeDocument/2006/relationships/hyperlink" Id="rId161"/>
    <Relationship TargetMode="External" Target="https://www.legis.iowa.gov/docs/iac/rule/876.2506.56.pdf" Type="http://schemas.openxmlformats.org/officeDocument/2006/relationships/hyperlink" Id="rId162"/>
    <Relationship TargetMode="External" Target="https://www.legis.iowa.gov/docs/ico/chapter/10A.321.pdf" Type="http://schemas.openxmlformats.org/officeDocument/2006/relationships/hyperlink" Id="rId163"/>
    <Relationship TargetMode="External" Target="https://www.legis.iowa.gov/docs/iac/rule/876.2506.53.pdf" Type="http://schemas.openxmlformats.org/officeDocument/2006/relationships/hyperlink" Id="rId164"/>
    <Relationship TargetMode="External" Target="https://www.legis.iowa.gov/docs/iac/rule/876.2506.53.pdf" Type="http://schemas.openxmlformats.org/officeDocument/2006/relationships/hyperlink" Id="rId165"/>
    <Relationship TargetMode="External" Target="https://www.legis.iowa.gov/docs/ico/chapter/10A.321.pdf" Type="http://schemas.openxmlformats.org/officeDocument/2006/relationships/hyperlink" Id="rId166"/>
    <Relationship TargetMode="External" Target="https://www.legis.iowa.gov/docs/ico/chapter/17A.15.pdf" Type="http://schemas.openxmlformats.org/officeDocument/2006/relationships/hyperlink" Id="rId167"/>
    <Relationship TargetMode="External" Target="https://www.legis.iowa.gov/docs/iac/rule/876.2506.54.pdf" Type="http://schemas.openxmlformats.org/officeDocument/2006/relationships/hyperlink" Id="rId168"/>
    <Relationship TargetMode="External" Target="https://www.legis.iowa.gov/docs/iac/rule/876.2506.56.pdf" Type="http://schemas.openxmlformats.org/officeDocument/2006/relationships/hyperlink" Id="rId169"/>
    <Relationship TargetMode="External" Target="https://www.legis.iowa.gov/docs/ico/chapter/10A.320.pdf" Type="http://schemas.openxmlformats.org/officeDocument/2006/relationships/hyperlink" Id="rId170"/>
    <Relationship TargetMode="External" Target="https://www.legis.iowa.gov/docs/ico/chapter/10A.321.pdf" Type="http://schemas.openxmlformats.org/officeDocument/2006/relationships/hyperlink" Id="rId171"/>
    <Relationship TargetMode="External" Target="https://www.legis.iowa.gov/docs/ico/chapter/10A.328.pdf" Type="http://schemas.openxmlformats.org/officeDocument/2006/relationships/hyperlink" Id="rId172"/>
    <Relationship TargetMode="External" Target="https://www.legis.iowa.gov/docs/ico/chapter/17A.12.pdf" Type="http://schemas.openxmlformats.org/officeDocument/2006/relationships/hyperlink" Id="rId173"/>
    <Relationship TargetMode="External" Target="https://www.legis.iowa.gov/docs/ico/chapter/17A.15.pdf" Type="http://schemas.openxmlformats.org/officeDocument/2006/relationships/hyperlink" Id="rId174"/>
    <Relationship TargetMode="External" Target="https://www.legis.iowa.gov/docs/ico/chapter/10A.320.pdf" Type="http://schemas.openxmlformats.org/officeDocument/2006/relationships/hyperlink" Id="rId175"/>
    <Relationship TargetMode="External" Target="https://www.legis.iowa.gov/docs/ico/chapter/622.69.pdf" Type="http://schemas.openxmlformats.org/officeDocument/2006/relationships/hyperlink" Id="rId176"/>
    <Relationship TargetMode="External" Target="https://www.legis.iowa.gov/docs/ico/chapter/622.72.pdf" Type="http://schemas.openxmlformats.org/officeDocument/2006/relationships/hyperlink" Id="rId177"/>
    <Relationship TargetMode="External" Target="https://www.legis.iowa.gov/docs/ico/chapter/622.69.pdf" Type="http://schemas.openxmlformats.org/officeDocument/2006/relationships/hyperlink" Id="rId178"/>
    <Relationship TargetMode="External" Target="https://www.legis.iowa.gov/docs/ico/chapter/622.72.pdf" Type="http://schemas.openxmlformats.org/officeDocument/2006/relationships/hyperlink" Id="rId179"/>
    <Relationship TargetMode="External" Target="https://www.legis.iowa.gov/docs/ico/chapter/622.74.pdf" Type="http://schemas.openxmlformats.org/officeDocument/2006/relationships/hyperlink" Id="rId180"/>
    <Relationship TargetMode="External" Target="https://www.legis.iowa.gov/docs/ico/chapter/10A.328.pdf" Type="http://schemas.openxmlformats.org/officeDocument/2006/relationships/hyperlink" Id="rId181"/>
    <Relationship TargetMode="External" Target="https://www.legis.iowa.gov/docs/iac/rule/876.2506.60.pdf" Type="http://schemas.openxmlformats.org/officeDocument/2006/relationships/hyperlink" Id="rId182"/>
    <Relationship TargetMode="External" Target="https://www.legis.iowa.gov/docs/iac/rule/876.2506.60.pdf" Type="http://schemas.openxmlformats.org/officeDocument/2006/relationships/hyperlink" Id="rId183"/>
    <Relationship TargetMode="External" Target="https://www.legis.iowa.gov/docs/ico/chapter/10A.310.pdf" Type="http://schemas.openxmlformats.org/officeDocument/2006/relationships/hyperlink" Id="rId184"/>
    <Relationship TargetMode="External" Target="https://www.legis.iowa.gov/docs/ico/chapter/10A.319.pdf" Type="http://schemas.openxmlformats.org/officeDocument/2006/relationships/hyperlink" Id="rId185"/>
    <Relationship TargetMode="External" Target="https://www.legis.iowa.gov/docs/ico/chapter/17A.3.pdf" Type="http://schemas.openxmlformats.org/officeDocument/2006/relationships/hyperlink" Id="rId186"/>
    <Relationship TargetMode="External" Target="https://www.legis.iowa.gov/docs/ico/chapter/10A.pdf" Type="http://schemas.openxmlformats.org/officeDocument/2006/relationships/hyperlink" Id="rId187"/>
    <Relationship TargetMode="External" Target="https://www.legis.iowa.gov/docs/ico/chapter/17A.pdf" Type="http://schemas.openxmlformats.org/officeDocument/2006/relationships/hyperlink" Id="rId188"/>
    <Relationship TargetMode="External" Target="https://www.legis.iowa.gov/docs/ico/chapter/85.pdf" Type="http://schemas.openxmlformats.org/officeDocument/2006/relationships/hyperlink" Id="rId189"/>
    <Relationship TargetMode="External" Target="https://www.legis.iowa.gov/docs/ico/chapter/85B.pdf" Type="http://schemas.openxmlformats.org/officeDocument/2006/relationships/hyperlink" Id="rId190"/>
    <Relationship TargetMode="External" Target="https://www.legis.iowa.gov/docs/ico/chapter/87.pdf" Type="http://schemas.openxmlformats.org/officeDocument/2006/relationships/hyperlink" Id="rId191"/>
    <Relationship TargetMode="External" Target="https://www.legis.iowa.gov/docs/ico/chapter/10A.310.pdf" Type="http://schemas.openxmlformats.org/officeDocument/2006/relationships/hyperlink" Id="rId192"/>
    <Relationship TargetMode="External" Target="https://www.legis.iowa.gov/docs/ico/chapter/17A.1.pdf" Type="http://schemas.openxmlformats.org/officeDocument/2006/relationships/hyperlink" Id="rId193"/>
    <Relationship TargetMode="External" Target="https://www.legis.iowa.gov/docs/ico/chapter/17A.12.pdf" Type="http://schemas.openxmlformats.org/officeDocument/2006/relationships/hyperlink" Id="rId194"/>
    <Relationship TargetMode="External" Target="https://www.legis.iowa.gov/docs/ico/chapter/17A.14.pdf" Type="http://schemas.openxmlformats.org/officeDocument/2006/relationships/hyperlink" Id="rId195"/>
    <Relationship TargetMode="External" Target="https://www.legis.iowa.gov/docs/ico/chapter/10A.310.pdf" Type="http://schemas.openxmlformats.org/officeDocument/2006/relationships/hyperlink" Id="rId196"/>
    <Relationship TargetMode="External" Target="https://www.legis.iowa.gov/docs/iac/rule/876.2506.54.pdf" Type="http://schemas.openxmlformats.org/officeDocument/2006/relationships/hyperlink" Id="rId197"/>
    <Relationship TargetMode="External" Target="https://www.legis.iowa.gov/docs/ico/chapter/10A.310.pdf" Type="http://schemas.openxmlformats.org/officeDocument/2006/relationships/hyperlink" Id="rId198"/>
    <Relationship TargetMode="External" Target="https://www.legis.iowa.gov/docs/ico/chapter/10A.319.pdf" Type="http://schemas.openxmlformats.org/officeDocument/2006/relationships/hyperlink" Id="rId199"/>
    <Relationship TargetMode="External" Target="https://www.legis.iowa.gov/docs/ico/chapter/10A.321.pdf" Type="http://schemas.openxmlformats.org/officeDocument/2006/relationships/hyperlink" Id="rId200"/>
    <Relationship TargetMode="External" Target="https://www.legis.iowa.gov/docs/ico/chapter/17A.12.pdf" Type="http://schemas.openxmlformats.org/officeDocument/2006/relationships/hyperlink" Id="rId201"/>
    <Relationship TargetMode="External" Target="https://www.legis.iowa.gov/docs/ico/chapter/17A.15.pdf" Type="http://schemas.openxmlformats.org/officeDocument/2006/relationships/hyperlink" Id="rId202"/>
    <Relationship TargetMode="External" Target="https://www.legis.iowa.gov/docs/iac/rule/876.10.3.pdf" Type="http://schemas.openxmlformats.org/officeDocument/2006/relationships/hyperlink" Id="rId203"/>
    <Relationship TargetMode="External" Target="https://www.legis.iowa.gov/docs/iac/rule/876.10.3.pdf" Type="http://schemas.openxmlformats.org/officeDocument/2006/relationships/hyperlink" Id="rId204"/>
    <Relationship TargetMode="External" Target="https://www.legis.iowa.gov/docs/iac/rule/876.10.1.pdf" Type="http://schemas.openxmlformats.org/officeDocument/2006/relationships/hyperlink" Id="rId205"/>
    <Relationship TargetMode="External" Target="https://www.legis.iowa.gov/docs/iac/rule/876.10.3.pdf" Type="http://schemas.openxmlformats.org/officeDocument/2006/relationships/hyperlink" Id="rId206"/>
    <Relationship TargetMode="External" Target="https://www.legis.iowa.gov/docs/iac/rule/876.10.3.pdf" Type="http://schemas.openxmlformats.org/officeDocument/2006/relationships/hyperlink" Id="rId207"/>
    <Relationship TargetMode="External" Target="https://www.legis.iowa.gov/docs/ico/chapter/17A.pdf" Type="http://schemas.openxmlformats.org/officeDocument/2006/relationships/hyperlink" Id="rId208"/>
    <Relationship TargetMode="External" Target="https://www.legis.iowa.gov/docs/iac/rule/876.10.3.pdf" Type="http://schemas.openxmlformats.org/officeDocument/2006/relationships/hyperlink" Id="rId209"/>
    <Relationship TargetMode="External" Target="https://www.legis.iowa.gov/docs/iac/rule/876.10.3.pdf" Type="http://schemas.openxmlformats.org/officeDocument/2006/relationships/hyperlink" Id="rId210"/>
    <Relationship TargetMode="External" Target="https://www.legis.iowa.gov/docs/iac/rule/876.10.3.pdf" Type="http://schemas.openxmlformats.org/officeDocument/2006/relationships/hyperlink" Id="rId211"/>
    <Relationship TargetMode="External" Target="https://www.legis.iowa.gov/docs/iac/rule/876.10.3.pdf" Type="http://schemas.openxmlformats.org/officeDocument/2006/relationships/hyperlink" Id="rId212"/>
    <Relationship TargetMode="External" Target="https://www.legis.iowa.gov/docs/iac/rule/876.10.3.pdf" Type="http://schemas.openxmlformats.org/officeDocument/2006/relationships/hyperlink" Id="rId213"/>
    <Relationship TargetMode="External" Target="https://www.legis.iowa.gov/docs/iac/rule/876.10.3.pdf" Type="http://schemas.openxmlformats.org/officeDocument/2006/relationships/hyperlink" Id="rId214"/>
    <Relationship TargetMode="External" Target="https://www.legis.iowa.gov/docs/ico/chapter/17A.pdf" Type="http://schemas.openxmlformats.org/officeDocument/2006/relationships/hyperlink" Id="rId215"/>
    <Relationship TargetMode="External" Target="https://www.legis.iowa.gov/docs/ico/chapter/10A.310.pdf" Type="http://schemas.openxmlformats.org/officeDocument/2006/relationships/hyperlink" Id="rId216"/>
    <Relationship TargetMode="External" Target="https://www.legis.iowa.gov/docs/ico/chapter/10A.327.pdf" Type="http://schemas.openxmlformats.org/officeDocument/2006/relationships/hyperlink" Id="rId217"/>
    <Relationship TargetMode="External" Target="https://www.legis.iowa.gov/docs/ico/chapter/17A.10.pdf" Type="http://schemas.openxmlformats.org/officeDocument/2006/relationships/hyperlink" Id="rId218"/>
    <Relationship TargetMode="External" Target="https://www.legis.iowa.gov/docs/ico/chapter/17A.12.pdf" Type="http://schemas.openxmlformats.org/officeDocument/2006/relationships/hyperlink" Id="rId219"/>
    <Relationship TargetMode="External" Target="https://www.legis.iowa.gov/docs/ico/chapter/17A.14.pdf" Type="http://schemas.openxmlformats.org/officeDocument/2006/relationships/hyperlink" Id="rId220"/>
    <Relationship TargetMode="External" Target="https://www.legis.iowa.gov/docs/ico/chapter/85.27.pdf" Type="http://schemas.openxmlformats.org/officeDocument/2006/relationships/hyperlink" Id="rId221"/>
    <Relationship TargetMode="External" Target="https://www.legis.iowa.gov/docs/ico/chapter/85.27.pdf" Type="http://schemas.openxmlformats.org/officeDocument/2006/relationships/hyperlink" Id="rId222"/>
    <Relationship TargetMode="External" Target="https://www.legis.iowa.gov/docs/ico/chapter/85.27.pdf" Type="http://schemas.openxmlformats.org/officeDocument/2006/relationships/hyperlink" Id="rId223"/>
    <Relationship TargetMode="External" Target="https://www.legis.iowa.gov/docs/ico/chapter/87.11.pdf" Type="http://schemas.openxmlformats.org/officeDocument/2006/relationships/hyperlink" Id="rId224"/>
    <Relationship TargetMode="External" Target="https://www.legis.iowa.gov/docs/iac/rule/876.2506.38.pdf" Type="http://schemas.openxmlformats.org/officeDocument/2006/relationships/hyperlink" Id="rId225"/>
    <Relationship TargetMode="External" Target="https://www.legis.iowa.gov/docs/iac/rule/876.2506.32.pdf" Type="http://schemas.openxmlformats.org/officeDocument/2006/relationships/hyperlink" Id="rId226"/>
    <Relationship TargetMode="External" Target="https://www.legis.iowa.gov/docs/ico/chapter/10A.321.pdf" Type="http://schemas.openxmlformats.org/officeDocument/2006/relationships/hyperlink" Id="rId227"/>
    <Relationship TargetMode="External" Target="https://www.legis.iowa.gov/docs/ico/chapter/10A.320.pdf" Type="http://schemas.openxmlformats.org/officeDocument/2006/relationships/hyperlink" Id="rId228"/>
    <Relationship TargetMode="External" Target="https://www.legis.iowa.gov/docs/ico/chapter/631.14.pdf" Type="http://schemas.openxmlformats.org/officeDocument/2006/relationships/hyperlink" Id="rId229"/>
    <Relationship TargetMode="External" Target="https://www.legis.iowa.gov/docs/ico/chapter/10A.310.pdf" Type="http://schemas.openxmlformats.org/officeDocument/2006/relationships/hyperlink" Id="rId230"/>
    <Relationship TargetMode="External" Target="https://www.legis.iowa.gov/docs/ico/chapter/10A.318.pdf" Type="http://schemas.openxmlformats.org/officeDocument/2006/relationships/hyperlink" Id="rId231"/>
    <Relationship TargetMode="External" Target="https://www.legis.iowa.gov/docs/ico/chapter/17A.12.pdf" Type="http://schemas.openxmlformats.org/officeDocument/2006/relationships/hyperlink" Id="rId232"/>
    <Relationship TargetMode="External" Target="https://www.legis.iowa.gov/docs/ico/chapter/85.27.pdf" Type="http://schemas.openxmlformats.org/officeDocument/2006/relationships/hyperlink" Id="rId233"/>
    <Relationship TargetMode="External" Target="https://www.legis.iowa.gov/docs/iac/rule/876.2506.32.pdf" Type="http://schemas.openxmlformats.org/officeDocument/2006/relationships/hyperlink" Id="rId234"/>
    <Relationship TargetMode="External" Target="https://www.legis.iowa.gov/docs/iac/rule/876.2506.32.pdf" Type="http://schemas.openxmlformats.org/officeDocument/2006/relationships/hyperlink" Id="rId235"/>
    <Relationship TargetMode="External" Target="https://www.legis.iowa.gov/docs/ico/chapter/10A.310.pdf" Type="http://schemas.openxmlformats.org/officeDocument/2006/relationships/hyperlink" Id="rId236"/>
    <Relationship TargetMode="External" Target="https://www.legis.iowa.gov/docs/ico/chapter/10A.318.pdf" Type="http://schemas.openxmlformats.org/officeDocument/2006/relationships/hyperlink" Id="rId237"/>
    <Relationship TargetMode="External" Target="https://www.legis.iowa.gov/docs/ico/chapter/10A.319.pdf" Type="http://schemas.openxmlformats.org/officeDocument/2006/relationships/hyperlink" Id="rId238"/>
    <Relationship TargetMode="External" Target="https://www.legis.iowa.gov/docs/ico/chapter/17A.12.pdf" Type="http://schemas.openxmlformats.org/officeDocument/2006/relationships/hyperlink" Id="rId239"/>
    <Relationship TargetMode="External" Target="https://www.legis.iowa.gov/docs/ico/chapter/85.27.pdf" Type="http://schemas.openxmlformats.org/officeDocument/2006/relationships/hyperlink" Id="rId240"/>
    <Relationship TargetMode="External" Target="https://www.legis.iowa.gov/docs/ico/chapter/85.70.pdf" Type="http://schemas.openxmlformats.org/officeDocument/2006/relationships/hyperlink" Id="rId241"/>
    <Relationship TargetMode="External" Target="https://www.legis.iowa.gov/docs/iac/rule/876.2506.37.pdf" Type="http://schemas.openxmlformats.org/officeDocument/2006/relationships/hyperlink" Id="rId242"/>
    <Relationship TargetMode="External" Target="https://www.legis.iowa.gov/docs/iac/rule/876.2506.43.pdf" Type="http://schemas.openxmlformats.org/officeDocument/2006/relationships/hyperlink" Id="rId243"/>
    <Relationship TargetMode="External" Target="https://www.legis.iowa.gov/docs/iac/rule/876.2506.38.pdf" Type="http://schemas.openxmlformats.org/officeDocument/2006/relationships/hyperlink" Id="rId244"/>
    <Relationship TargetMode="External" Target="https://www.legis.iowa.gov/docs/ico/chapter/85.34.pdf" Type="http://schemas.openxmlformats.org/officeDocument/2006/relationships/hyperlink" Id="rId245"/>
    <Relationship TargetMode="External" Target="https://www.legis.iowa.gov/docs/ico/chapter/10A.321.pdf" Type="http://schemas.openxmlformats.org/officeDocument/2006/relationships/hyperlink" Id="rId246"/>
    <Relationship TargetMode="External" Target="https://www.legis.iowa.gov/docs/ico/chapter/10A.320.pdf" Type="http://schemas.openxmlformats.org/officeDocument/2006/relationships/hyperlink" Id="rId247"/>
    <Relationship TargetMode="External" Target="https://www.legis.iowa.gov/docs/ico/chapter/631.14.pdf" Type="http://schemas.openxmlformats.org/officeDocument/2006/relationships/hyperlink" Id="rId248"/>
    <Relationship TargetMode="External" Target="https://www.legis.iowa.gov/docs/ico/chapter/10A.318.pdf" Type="http://schemas.openxmlformats.org/officeDocument/2006/relationships/hyperlink" Id="rId249"/>
    <Relationship TargetMode="External" Target="https://www.legis.iowa.gov/docs/ico/chapter/17A.12.pdf" Type="http://schemas.openxmlformats.org/officeDocument/2006/relationships/hyperlink" Id="rId250"/>
    <Relationship TargetMode="External" Target="https://www.legis.iowa.gov/docs/ico/chapter/85.70.pdf" Type="http://schemas.openxmlformats.org/officeDocument/2006/relationships/hyperlink" Id="rId251"/>
    <Relationship TargetMode="External" Target="https://www.legis.iowa.gov/docs/ico/chapter/10A.322.pdf" Type="http://schemas.openxmlformats.org/officeDocument/2006/relationships/hyperlink" Id="rId252"/>
    <Relationship TargetMode="External" Target="https://www.legis.iowa.gov/docs/ico/chapter/17A.19.pdf" Type="http://schemas.openxmlformats.org/officeDocument/2006/relationships/hyperlink" Id="rId253"/>
    <Relationship TargetMode="External" Target="https://www.legis.iowa.gov/docs/ico/chapter/10A.pdf" Type="http://schemas.openxmlformats.org/officeDocument/2006/relationships/hyperlink" Id="rId254"/>
    <Relationship TargetMode="External" Target="https://www.legis.iowa.gov/docs/ico/chapter/17A.pdf" Type="http://schemas.openxmlformats.org/officeDocument/2006/relationships/hyperlink" Id="rId255"/>
    <Relationship TargetMode="External" Target="https://www.legis.iowa.gov/docs/ico/chapter/85.pdf" Type="http://schemas.openxmlformats.org/officeDocument/2006/relationships/hyperlink" Id="rId256"/>
    <Relationship TargetMode="External" Target="https://www.legis.iowa.gov/docs/ico/chapter/85B.pdf" Type="http://schemas.openxmlformats.org/officeDocument/2006/relationships/hyperlink" Id="rId257"/>
    <Relationship TargetMode="External" Target="https://www.legis.iowa.gov/docs/ico/chapter/87.pdf" Type="http://schemas.openxmlformats.org/officeDocument/2006/relationships/hyperlink" Id="rId258"/>
    <Relationship TargetMode="External" Target="https://www.legis.iowa.gov/docs/ico/chapter/10A.pdf" Type="http://schemas.openxmlformats.org/officeDocument/2006/relationships/hyperlink" Id="rId259"/>
    <Relationship TargetMode="External" Target="https://www.legis.iowa.gov/docs/ico/chapter/17A.pdf" Type="http://schemas.openxmlformats.org/officeDocument/2006/relationships/hyperlink" Id="rId260"/>
    <Relationship TargetMode="External" Target="https://www.legis.iowa.gov/docs/ico/chapter/85.pdf" Type="http://schemas.openxmlformats.org/officeDocument/2006/relationships/hyperlink" Id="rId261"/>
    <Relationship TargetMode="External" Target="https://www.legis.iowa.gov/docs/ico/chapter/85B.pdf" Type="http://schemas.openxmlformats.org/officeDocument/2006/relationships/hyperlink" Id="rId262"/>
    <Relationship Target="footer.xml" Type="http://schemas.openxmlformats.org/officeDocument/2006/relationships/footer" Id="rId2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